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3CB8" w14:textId="77777777" w:rsidR="00A74507" w:rsidRDefault="002E07E3">
      <w:pPr>
        <w:jc w:val="center"/>
        <w:rPr>
          <w:b/>
          <w:sz w:val="24"/>
          <w:szCs w:val="24"/>
        </w:rPr>
      </w:pPr>
      <w:r>
        <w:rPr>
          <w:b/>
          <w:sz w:val="24"/>
          <w:szCs w:val="24"/>
        </w:rPr>
        <w:t>A Preliminary Study on Social Security and Implications of its Potential Failure</w:t>
      </w:r>
    </w:p>
    <w:p w14:paraId="41B8480B" w14:textId="77777777" w:rsidR="00A74507" w:rsidRDefault="002E07E3">
      <w:pPr>
        <w:ind w:firstLine="720"/>
        <w:rPr>
          <w:color w:val="212121"/>
          <w:sz w:val="24"/>
          <w:szCs w:val="24"/>
          <w:highlight w:val="white"/>
        </w:rPr>
      </w:pPr>
      <w:r>
        <w:rPr>
          <w:sz w:val="24"/>
          <w:szCs w:val="24"/>
        </w:rPr>
        <w:t>The Social Security Act of 1935 cemented the creation of “social insurance” in America. It aimed to provide the elderly with retirement security, “</w:t>
      </w:r>
      <w:r>
        <w:rPr>
          <w:color w:val="212121"/>
          <w:sz w:val="24"/>
          <w:szCs w:val="24"/>
          <w:highlight w:val="white"/>
        </w:rPr>
        <w:t>Social insurance, as conceived by President Roosevelt, would address the permanent problem of economic securi</w:t>
      </w:r>
      <w:r>
        <w:rPr>
          <w:color w:val="212121"/>
          <w:sz w:val="24"/>
          <w:szCs w:val="24"/>
          <w:highlight w:val="white"/>
        </w:rPr>
        <w:t>ty for the elderly by creating a work-related, contributory system in which workers would provide for their own future economic security through taxes paid while employed” (Historical Background and Development of Social Security). This entails employees a</w:t>
      </w:r>
      <w:r>
        <w:rPr>
          <w:color w:val="212121"/>
          <w:sz w:val="24"/>
          <w:szCs w:val="24"/>
          <w:highlight w:val="white"/>
        </w:rPr>
        <w:t>nd employers paying payroll taxes to provide income to the fund and in return are paid monthly benefits in retirement until they pass away. Currently social security encompasses two trust funds Old-Age and Survivors Insurance (OASI) and Disability Insuranc</w:t>
      </w:r>
      <w:r>
        <w:rPr>
          <w:color w:val="212121"/>
          <w:sz w:val="24"/>
          <w:szCs w:val="24"/>
          <w:highlight w:val="white"/>
        </w:rPr>
        <w:t>e (DI). There are 56 million OASI beneficiaries and 9.2 million DI beneficiaries (The 2022 OASDI Trustees Report). For Old-Age beneficiaries, benefits are calculated by taking the beneficiaries Average Indexed Monthly Earnings (AIME) by taking the highest-</w:t>
      </w:r>
      <w:r>
        <w:rPr>
          <w:color w:val="212121"/>
          <w:sz w:val="24"/>
          <w:szCs w:val="24"/>
          <w:highlight w:val="white"/>
        </w:rPr>
        <w:t>earning 35 years of work and dividing that sum by 420 months. Then the following formula is applied to get the Primary Insurance Amount (PIA):</w:t>
      </w:r>
    </w:p>
    <w:p w14:paraId="55B0A8BC" w14:textId="77777777" w:rsidR="00A74507" w:rsidRDefault="002E07E3">
      <w:pPr>
        <w:numPr>
          <w:ilvl w:val="0"/>
          <w:numId w:val="2"/>
        </w:numPr>
        <w:pBdr>
          <w:top w:val="nil"/>
          <w:left w:val="nil"/>
          <w:bottom w:val="nil"/>
          <w:right w:val="nil"/>
          <w:between w:val="nil"/>
        </w:pBdr>
        <w:spacing w:after="0"/>
        <w:rPr>
          <w:color w:val="212121"/>
          <w:sz w:val="24"/>
          <w:szCs w:val="24"/>
          <w:highlight w:val="white"/>
        </w:rPr>
      </w:pPr>
      <w:r>
        <w:rPr>
          <w:color w:val="212121"/>
          <w:sz w:val="24"/>
          <w:szCs w:val="24"/>
          <w:highlight w:val="white"/>
        </w:rPr>
        <w:t>90% of the first $996 of AIME</w:t>
      </w:r>
    </w:p>
    <w:p w14:paraId="75460CDC" w14:textId="77777777" w:rsidR="00A74507" w:rsidRDefault="002E07E3">
      <w:pPr>
        <w:numPr>
          <w:ilvl w:val="0"/>
          <w:numId w:val="2"/>
        </w:numPr>
        <w:pBdr>
          <w:top w:val="nil"/>
          <w:left w:val="nil"/>
          <w:bottom w:val="nil"/>
          <w:right w:val="nil"/>
          <w:between w:val="nil"/>
        </w:pBdr>
        <w:spacing w:after="0"/>
        <w:rPr>
          <w:color w:val="212121"/>
          <w:sz w:val="24"/>
          <w:szCs w:val="24"/>
          <w:highlight w:val="white"/>
        </w:rPr>
      </w:pPr>
      <w:r>
        <w:rPr>
          <w:color w:val="212121"/>
          <w:sz w:val="24"/>
          <w:szCs w:val="24"/>
          <w:highlight w:val="white"/>
        </w:rPr>
        <w:t>32% of the amount between $996 and $6,002 of AIME</w:t>
      </w:r>
    </w:p>
    <w:p w14:paraId="1B684896" w14:textId="77777777" w:rsidR="00A74507" w:rsidRDefault="002E07E3">
      <w:pPr>
        <w:numPr>
          <w:ilvl w:val="0"/>
          <w:numId w:val="2"/>
        </w:numPr>
        <w:pBdr>
          <w:top w:val="nil"/>
          <w:left w:val="nil"/>
          <w:bottom w:val="nil"/>
          <w:right w:val="nil"/>
          <w:between w:val="nil"/>
        </w:pBdr>
        <w:rPr>
          <w:color w:val="212121"/>
          <w:sz w:val="24"/>
          <w:szCs w:val="24"/>
          <w:highlight w:val="white"/>
        </w:rPr>
      </w:pPr>
      <w:r>
        <w:rPr>
          <w:color w:val="212121"/>
          <w:sz w:val="24"/>
          <w:szCs w:val="24"/>
          <w:highlight w:val="white"/>
        </w:rPr>
        <w:t>15% of the amount above $6,002 of</w:t>
      </w:r>
      <w:r>
        <w:rPr>
          <w:color w:val="212121"/>
          <w:sz w:val="24"/>
          <w:szCs w:val="24"/>
          <w:highlight w:val="white"/>
        </w:rPr>
        <w:t xml:space="preserve"> AIME</w:t>
      </w:r>
    </w:p>
    <w:p w14:paraId="0AB5754B" w14:textId="77777777" w:rsidR="00A74507" w:rsidRDefault="002E07E3">
      <w:pPr>
        <w:pBdr>
          <w:top w:val="nil"/>
          <w:left w:val="nil"/>
          <w:bottom w:val="nil"/>
          <w:right w:val="nil"/>
          <w:between w:val="nil"/>
        </w:pBdr>
        <w:spacing w:line="240" w:lineRule="auto"/>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The sum of these three amounts is the beneficiary’s monthly PIA. Additionally, beneficiaries have the option of receiving benefits before their Full Retirement Age which reduces their PIA by:</w:t>
      </w:r>
    </w:p>
    <w:p w14:paraId="6E6166B4" w14:textId="77777777" w:rsidR="00A74507" w:rsidRDefault="002E07E3">
      <w:pPr>
        <w:numPr>
          <w:ilvl w:val="0"/>
          <w:numId w:val="1"/>
        </w:numPr>
        <w:pBdr>
          <w:top w:val="nil"/>
          <w:left w:val="nil"/>
          <w:bottom w:val="nil"/>
          <w:right w:val="nil"/>
          <w:between w:val="nil"/>
        </w:pBdr>
        <w:spacing w:line="240" w:lineRule="auto"/>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0.55% reduction for each month, up to 36 months </w:t>
      </w:r>
    </w:p>
    <w:p w14:paraId="29AE0AE4" w14:textId="77777777" w:rsidR="00A74507" w:rsidRDefault="002E07E3">
      <w:pPr>
        <w:numPr>
          <w:ilvl w:val="0"/>
          <w:numId w:val="1"/>
        </w:numPr>
        <w:pBdr>
          <w:top w:val="nil"/>
          <w:left w:val="nil"/>
          <w:bottom w:val="nil"/>
          <w:right w:val="nil"/>
          <w:between w:val="nil"/>
        </w:pBdr>
        <w:spacing w:line="240" w:lineRule="auto"/>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0.42% reduction for each month, exceeding 36 months to a maximum of 60 months</w:t>
      </w:r>
    </w:p>
    <w:p w14:paraId="14E49E47" w14:textId="77777777" w:rsidR="00A74507" w:rsidRDefault="002E07E3">
      <w:pPr>
        <w:rPr>
          <w:color w:val="212121"/>
          <w:sz w:val="24"/>
          <w:szCs w:val="24"/>
          <w:highlight w:val="white"/>
        </w:rPr>
      </w:pPr>
      <w:r>
        <w:rPr>
          <w:color w:val="212121"/>
          <w:sz w:val="24"/>
          <w:szCs w:val="24"/>
          <w:highlight w:val="white"/>
        </w:rPr>
        <w:t>Finally, benefits are adjusted every year with a cost-of-living-adjustment (COLA) based on the Consumer Price Index for Urban Wag</w:t>
      </w:r>
      <w:r>
        <w:rPr>
          <w:color w:val="212121"/>
          <w:sz w:val="24"/>
          <w:szCs w:val="24"/>
          <w:highlight w:val="white"/>
        </w:rPr>
        <w:t>e Earners and Clerical Workers (CPI-W). Focusing on currently retired workers, the average monthly benefit in 2021 for retired workers was $1,658 with a total of 47.3 million retired worker beneficiaries. This is a total of about $0.94 trillion benefits pa</w:t>
      </w:r>
      <w:r>
        <w:rPr>
          <w:color w:val="212121"/>
          <w:sz w:val="24"/>
          <w:szCs w:val="24"/>
          <w:highlight w:val="white"/>
        </w:rPr>
        <w:t>id to retirees for the year 2021(The 2022 OASDI Trustees Report). These benefits are paid from a combination of income from payroll taxes, taxes on benefits, and from interest on assets in the trust fund. The assets in the trust fund are invested in specia</w:t>
      </w:r>
      <w:r>
        <w:rPr>
          <w:color w:val="212121"/>
          <w:sz w:val="24"/>
          <w:szCs w:val="24"/>
          <w:highlight w:val="white"/>
        </w:rPr>
        <w:t>l issue U.S. Treasury securities that are virtually “risk-free”. This program has allowed countless millions of Americans to be able to retire and has been a great service to Americans for decades, unfortunately it is a temporary solution to a permanent pr</w:t>
      </w:r>
      <w:r>
        <w:rPr>
          <w:color w:val="212121"/>
          <w:sz w:val="24"/>
          <w:szCs w:val="24"/>
          <w:highlight w:val="white"/>
        </w:rPr>
        <w:t xml:space="preserve">oblem. </w:t>
      </w:r>
    </w:p>
    <w:p w14:paraId="2198CE48" w14:textId="77777777" w:rsidR="00A74507" w:rsidRDefault="002E07E3">
      <w:pPr>
        <w:ind w:firstLine="720"/>
        <w:rPr>
          <w:color w:val="212121"/>
          <w:sz w:val="24"/>
          <w:szCs w:val="24"/>
          <w:highlight w:val="white"/>
        </w:rPr>
      </w:pPr>
      <w:r>
        <w:rPr>
          <w:color w:val="212121"/>
          <w:sz w:val="24"/>
          <w:szCs w:val="24"/>
          <w:highlight w:val="white"/>
        </w:rPr>
        <w:t>The construction of Social Security is not holding up against the test of time. Its integrity has been compromised by the following four factors. First, dramatic demographic shifts in the U.S. population have significantly exaggerated pressure on t</w:t>
      </w:r>
      <w:r>
        <w:rPr>
          <w:color w:val="212121"/>
          <w:sz w:val="24"/>
          <w:szCs w:val="24"/>
          <w:highlight w:val="white"/>
        </w:rPr>
        <w:t xml:space="preserve">he system. Life expectancy has increased by 10.8% from 1960 to about 77.3 years in 2020 (Appendix 1) (CPI-W, St Louis Fed). Moreover, fertility rate has decreased by 55% from 1960 to about 1.64 births per woman in </w:t>
      </w:r>
      <w:r>
        <w:rPr>
          <w:color w:val="212121"/>
          <w:sz w:val="24"/>
          <w:szCs w:val="24"/>
          <w:highlight w:val="white"/>
        </w:rPr>
        <w:lastRenderedPageBreak/>
        <w:t>2020(Fertility Rate, St Louis Fed)(Appendi</w:t>
      </w:r>
      <w:r>
        <w:rPr>
          <w:color w:val="212121"/>
          <w:sz w:val="24"/>
          <w:szCs w:val="24"/>
          <w:highlight w:val="white"/>
        </w:rPr>
        <w:t>x 4). This means there are less people paying for social security at any given time and those receiving benefits receive them for much longer. Second, the interest earned on the funds’ assets are tied to interest rates. The average federal funds rate the p</w:t>
      </w:r>
      <w:r>
        <w:rPr>
          <w:color w:val="212121"/>
          <w:sz w:val="24"/>
          <w:szCs w:val="24"/>
          <w:highlight w:val="white"/>
        </w:rPr>
        <w:t>ast 20 years (Jan 2003-Jan 2023) has been an unbelievably low 1.31% (St. Louis Fed) (Appendix 6). Third, COLA adjustments are unpredictable and tied to inflation. In the same twenty year time period the average CPI-W was 2.47% (St Louis Fed)(Appendix 7). T</w:t>
      </w:r>
      <w:r>
        <w:rPr>
          <w:color w:val="212121"/>
          <w:sz w:val="24"/>
          <w:szCs w:val="24"/>
          <w:highlight w:val="white"/>
        </w:rPr>
        <w:t>his means the real return between the interest on the Social Security trust fund assets and its COLA is  -1.16% (this assumes the Federal Fund rate is equivalent to the yield of the bonds and represents the average real return over the 20 year period). Fou</w:t>
      </w:r>
      <w:r>
        <w:rPr>
          <w:color w:val="212121"/>
          <w:sz w:val="24"/>
          <w:szCs w:val="24"/>
          <w:highlight w:val="white"/>
        </w:rPr>
        <w:t>rth, the political environment and legislation around social security is unproductive. There have not been any significant overhauls in the fundamental system of social security since its inception (Social Security History). Retirement is a hard subject to</w:t>
      </w:r>
      <w:r>
        <w:rPr>
          <w:color w:val="212121"/>
          <w:sz w:val="24"/>
          <w:szCs w:val="24"/>
          <w:highlight w:val="white"/>
        </w:rPr>
        <w:t xml:space="preserve"> talk about and any changes can’t be agreed on or glossed over entirely. Social Security is a system created almost a hundred years ago that has not been updated and is not robust enough to function in today’s world. In summary, the system of Social Securi</w:t>
      </w:r>
      <w:r>
        <w:rPr>
          <w:color w:val="212121"/>
          <w:sz w:val="24"/>
          <w:szCs w:val="24"/>
          <w:highlight w:val="white"/>
        </w:rPr>
        <w:t>ty is an aging system that has started to fail from a variety of factors, and nothing is being done about it.</w:t>
      </w:r>
      <w:r>
        <w:rPr>
          <w:noProof/>
        </w:rPr>
        <w:drawing>
          <wp:anchor distT="0" distB="0" distL="114300" distR="114300" simplePos="0" relativeHeight="251658240" behindDoc="0" locked="0" layoutInCell="1" hidden="0" allowOverlap="1" wp14:anchorId="53BC8571" wp14:editId="025817A6">
            <wp:simplePos x="0" y="0"/>
            <wp:positionH relativeFrom="column">
              <wp:posOffset>-196595</wp:posOffset>
            </wp:positionH>
            <wp:positionV relativeFrom="paragraph">
              <wp:posOffset>2654554</wp:posOffset>
            </wp:positionV>
            <wp:extent cx="5939790" cy="1675130"/>
            <wp:effectExtent l="0" t="0" r="0" b="0"/>
            <wp:wrapSquare wrapText="bothSides" distT="0" distB="0" distL="114300" distR="11430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t="10894"/>
                    <a:stretch>
                      <a:fillRect/>
                    </a:stretch>
                  </pic:blipFill>
                  <pic:spPr>
                    <a:xfrm>
                      <a:off x="0" y="0"/>
                      <a:ext cx="5939790" cy="167513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88FE0D9" wp14:editId="12B19863">
                <wp:simplePos x="0" y="0"/>
                <wp:positionH relativeFrom="column">
                  <wp:posOffset>12701</wp:posOffset>
                </wp:positionH>
                <wp:positionV relativeFrom="paragraph">
                  <wp:posOffset>4279900</wp:posOffset>
                </wp:positionV>
                <wp:extent cx="635" cy="12700"/>
                <wp:effectExtent l="0" t="0" r="0" b="0"/>
                <wp:wrapSquare wrapText="bothSides" distT="0" distB="0" distL="114300" distR="114300"/>
                <wp:docPr id="30" name="Rectangle 30"/>
                <wp:cNvGraphicFramePr/>
                <a:graphic xmlns:a="http://schemas.openxmlformats.org/drawingml/2006/main">
                  <a:graphicData uri="http://schemas.microsoft.com/office/word/2010/wordprocessingShape">
                    <wps:wsp>
                      <wps:cNvSpPr/>
                      <wps:spPr>
                        <a:xfrm>
                          <a:off x="2376105" y="3779683"/>
                          <a:ext cx="5939790" cy="635"/>
                        </a:xfrm>
                        <a:prstGeom prst="rect">
                          <a:avLst/>
                        </a:prstGeom>
                        <a:solidFill>
                          <a:srgbClr val="FFFFFF"/>
                        </a:solidFill>
                        <a:ln>
                          <a:noFill/>
                        </a:ln>
                      </wps:spPr>
                      <wps:txbx>
                        <w:txbxContent>
                          <w:p w14:paraId="7FBEF4CF" w14:textId="77777777" w:rsidR="00A74507" w:rsidRDefault="002E07E3">
                            <w:pPr>
                              <w:spacing w:after="0" w:line="240" w:lineRule="auto"/>
                              <w:jc w:val="center"/>
                              <w:textDirection w:val="btLr"/>
                            </w:pPr>
                            <w:r>
                              <w:rPr>
                                <w:rFonts w:ascii="Arial" w:eastAsia="Arial" w:hAnsi="Arial" w:cs="Arial"/>
                                <w:i/>
                                <w:color w:val="44546A"/>
                                <w:sz w:val="18"/>
                              </w:rPr>
                              <w:t>Figure : Key Dates for Social Security Trust Funds</w:t>
                            </w:r>
                          </w:p>
                          <w:p w14:paraId="5BC2B769" w14:textId="77777777" w:rsidR="00A74507" w:rsidRDefault="002E07E3">
                            <w:pPr>
                              <w:spacing w:after="0" w:line="240" w:lineRule="auto"/>
                              <w:jc w:val="center"/>
                              <w:textDirection w:val="btLr"/>
                            </w:pPr>
                            <w:r>
                              <w:rPr>
                                <w:rFonts w:ascii="Arial" w:eastAsia="Arial" w:hAnsi="Arial" w:cs="Arial"/>
                                <w:i/>
                                <w:color w:val="44546A"/>
                                <w:sz w:val="18"/>
                              </w:rPr>
                              <w:t>Source: Status of the Social Security and Medicare Programs</w:t>
                            </w:r>
                          </w:p>
                        </w:txbxContent>
                      </wps:txbx>
                      <wps:bodyPr spcFirstLastPara="1" wrap="square" lIns="0" tIns="0" rIns="0" bIns="0" anchor="t" anchorCtr="0">
                        <a:noAutofit/>
                      </wps:bodyPr>
                    </wps:wsp>
                  </a:graphicData>
                </a:graphic>
              </wp:anchor>
            </w:drawing>
          </mc:Choice>
          <mc:Fallback>
            <w:pict>
              <v:rect w14:anchorId="088FE0D9" id="Rectangle 30" o:spid="_x0000_s1026" style="position:absolute;left:0;text-align:left;margin-left:1pt;margin-top:337pt;width:.05pt;height: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" stroked="f">
                <v:textbox inset="0,0,0,0">
                  <w:txbxContent>
                    <w:p w14:paraId="7FBEF4CF" w14:textId="77777777" w:rsidR="00A74507" w:rsidRDefault="002E07E3">
                      <w:pPr>
                        <w:spacing w:after="0" w:line="240" w:lineRule="auto"/>
                        <w:jc w:val="center"/>
                        <w:textDirection w:val="btLr"/>
                      </w:pPr>
                      <w:r>
                        <w:rPr>
                          <w:rFonts w:ascii="Arial" w:eastAsia="Arial" w:hAnsi="Arial" w:cs="Arial"/>
                          <w:i/>
                          <w:color w:val="44546A"/>
                          <w:sz w:val="18"/>
                        </w:rPr>
                        <w:t>Figure : Key Dates for Social Security Trust Funds</w:t>
                      </w:r>
                    </w:p>
                    <w:p w14:paraId="5BC2B769" w14:textId="77777777" w:rsidR="00A74507" w:rsidRDefault="002E07E3">
                      <w:pPr>
                        <w:spacing w:after="0" w:line="240" w:lineRule="auto"/>
                        <w:jc w:val="center"/>
                        <w:textDirection w:val="btLr"/>
                      </w:pPr>
                      <w:r>
                        <w:rPr>
                          <w:rFonts w:ascii="Arial" w:eastAsia="Arial" w:hAnsi="Arial" w:cs="Arial"/>
                          <w:i/>
                          <w:color w:val="44546A"/>
                          <w:sz w:val="18"/>
                        </w:rPr>
                        <w:t>Source: Status of the Social Security and Medicare Programs</w:t>
                      </w:r>
                    </w:p>
                  </w:txbxContent>
                </v:textbox>
                <w10:wrap type="square"/>
              </v:rect>
            </w:pict>
          </mc:Fallback>
        </mc:AlternateContent>
      </w:r>
    </w:p>
    <w:p w14:paraId="7E2E5461" w14:textId="77777777" w:rsidR="00A74507" w:rsidRDefault="002E07E3">
      <w:pPr>
        <w:spacing w:after="0" w:line="240" w:lineRule="auto"/>
        <w:ind w:firstLine="720"/>
        <w:rPr>
          <w:b/>
          <w:color w:val="0000FF"/>
          <w:sz w:val="24"/>
          <w:szCs w:val="24"/>
        </w:rPr>
      </w:pPr>
      <w:r>
        <w:rPr>
          <w:color w:val="212121"/>
          <w:sz w:val="24"/>
          <w:szCs w:val="24"/>
          <w:highlight w:val="white"/>
        </w:rPr>
        <w:t xml:space="preserve">All of these problems have culminated to where it is today. Just two years ago, in </w:t>
      </w:r>
      <w:r>
        <w:rPr>
          <w:sz w:val="24"/>
          <w:szCs w:val="24"/>
          <w:highlight w:val="white"/>
        </w:rPr>
        <w:t>2021, the costs of social security exceeded its total income from taxes for the first time ever (</w:t>
      </w:r>
      <w:r>
        <w:rPr>
          <w:sz w:val="24"/>
          <w:szCs w:val="24"/>
        </w:rPr>
        <w:t>Status of the Social Security and Medicare Programs)</w:t>
      </w:r>
      <w:r>
        <w:rPr>
          <w:sz w:val="24"/>
          <w:szCs w:val="24"/>
          <w:highlight w:val="white"/>
        </w:rPr>
        <w:t>.  This is expected to h</w:t>
      </w:r>
      <w:r>
        <w:rPr>
          <w:sz w:val="24"/>
          <w:szCs w:val="24"/>
          <w:highlight w:val="white"/>
        </w:rPr>
        <w:t>appen every year until the fund becomes insolvent. It is projected that that the OASI Trust Fund assets will be fully depleted and be insolvent by 2034. Once these assets are depleted, any benefits would be paid directly from the taxes collected, which are</w:t>
      </w:r>
      <w:r>
        <w:rPr>
          <w:sz w:val="24"/>
          <w:szCs w:val="24"/>
          <w:highlight w:val="white"/>
        </w:rPr>
        <w:t xml:space="preserve"> projected to be able to cover 77% of obligations until 2096 (</w:t>
      </w:r>
      <w:r>
        <w:rPr>
          <w:sz w:val="24"/>
          <w:szCs w:val="24"/>
        </w:rPr>
        <w:t>Status of the Social Security and Medicare Programs)</w:t>
      </w:r>
      <w:r>
        <w:rPr>
          <w:sz w:val="24"/>
          <w:szCs w:val="24"/>
          <w:highlight w:val="white"/>
        </w:rPr>
        <w:t>. Unfortunately, the U.S. government must cover 100% of its obligations and leaves them with some undesirable choices, “</w:t>
      </w:r>
      <w:r>
        <w:rPr>
          <w:sz w:val="24"/>
          <w:szCs w:val="24"/>
        </w:rPr>
        <w:t>(1) revenue would have</w:t>
      </w:r>
      <w:r>
        <w:rPr>
          <w:sz w:val="24"/>
          <w:szCs w:val="24"/>
        </w:rPr>
        <w:t xml:space="preserve"> to be increased by an amount equivalent to an immediate and permanent payroll tax rate increase of 3.24 percentage points to 15.64 percent; (2) scheduled benefits would have to be reduced by an amount equivalent to an immediate and permanent reduction of </w:t>
      </w:r>
      <w:r>
        <w:rPr>
          <w:sz w:val="24"/>
          <w:szCs w:val="24"/>
        </w:rPr>
        <w:t>20.3 percent applied to all current and future beneficiaries through 2096, or 24.1 percent if the reductions were applied only to those who become initially eligible for benefits in 2022 or later; or (3) some combination of these approaches would have to b</w:t>
      </w:r>
      <w:r>
        <w:rPr>
          <w:sz w:val="24"/>
          <w:szCs w:val="24"/>
        </w:rPr>
        <w:t xml:space="preserve">e adopted. If actions are deferred for several years, the changes necessary to maintain Social Security solvency through 2096 become concentrated on fewer years and fewer generations” (The 2022 OASDI Trustees Report). </w:t>
      </w:r>
    </w:p>
    <w:p w14:paraId="5267FE3B" w14:textId="77777777" w:rsidR="00A74507" w:rsidRDefault="002E07E3">
      <w:pPr>
        <w:spacing w:after="0" w:line="240" w:lineRule="auto"/>
        <w:rPr>
          <w:sz w:val="24"/>
          <w:szCs w:val="24"/>
        </w:rPr>
      </w:pPr>
      <w:r>
        <w:rPr>
          <w:sz w:val="24"/>
          <w:szCs w:val="24"/>
        </w:rPr>
        <w:lastRenderedPageBreak/>
        <w:tab/>
        <w:t>A permanent payroll tax rate increas</w:t>
      </w:r>
      <w:r>
        <w:rPr>
          <w:sz w:val="24"/>
          <w:szCs w:val="24"/>
        </w:rPr>
        <w:t>e of 3.24% to 15.64% represents about a 26% increase in the payroll tax rate. This tax rate would have wide consequences across the entire U.S. economy. Taking a conceptual approach to this change. First, a payroll tax is split between the employee and emp</w:t>
      </w:r>
      <w:r>
        <w:rPr>
          <w:sz w:val="24"/>
          <w:szCs w:val="24"/>
        </w:rPr>
        <w:t xml:space="preserve">loyer. This would make each entities payroll tax rate 7.82%. Thus, it reduces incentives of working for both producers and consumers. Second, this would reduce how much people work and how much producers hire. Overall, we can assume people work less hours </w:t>
      </w:r>
      <w:r>
        <w:rPr>
          <w:sz w:val="24"/>
          <w:szCs w:val="24"/>
        </w:rPr>
        <w:t>and their overall consumption and income decreases. Thus, with a decrease in overall income people have less money to invest back into the economy. The combination of less investment and consumption would decrease economic output and therefore economic gro</w:t>
      </w:r>
      <w:r>
        <w:rPr>
          <w:sz w:val="24"/>
          <w:szCs w:val="24"/>
        </w:rPr>
        <w:t xml:space="preserve">wth. </w:t>
      </w:r>
      <w:r>
        <w:rPr>
          <w:noProof/>
        </w:rPr>
        <w:drawing>
          <wp:anchor distT="0" distB="0" distL="114300" distR="114300" simplePos="0" relativeHeight="251660288" behindDoc="0" locked="0" layoutInCell="1" hidden="0" allowOverlap="1" wp14:anchorId="422FD73C" wp14:editId="4060FC1D">
            <wp:simplePos x="0" y="0"/>
            <wp:positionH relativeFrom="column">
              <wp:posOffset>2088642</wp:posOffset>
            </wp:positionH>
            <wp:positionV relativeFrom="paragraph">
              <wp:posOffset>4749</wp:posOffset>
            </wp:positionV>
            <wp:extent cx="3854958" cy="2862988"/>
            <wp:effectExtent l="0" t="0" r="0" b="0"/>
            <wp:wrapSquare wrapText="bothSides" distT="0" distB="0" distL="114300" distR="114300"/>
            <wp:docPr id="4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3854958" cy="2862988"/>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63B4C87D" wp14:editId="297C4917">
                <wp:simplePos x="0" y="0"/>
                <wp:positionH relativeFrom="column">
                  <wp:posOffset>2552700</wp:posOffset>
                </wp:positionH>
                <wp:positionV relativeFrom="paragraph">
                  <wp:posOffset>2857500</wp:posOffset>
                </wp:positionV>
                <wp:extent cx="3395345" cy="287020"/>
                <wp:effectExtent l="0" t="0" r="0" b="0"/>
                <wp:wrapSquare wrapText="bothSides" distT="0" distB="0" distL="114300" distR="114300"/>
                <wp:docPr id="25" name="Rectangle 25"/>
                <wp:cNvGraphicFramePr/>
                <a:graphic xmlns:a="http://schemas.openxmlformats.org/drawingml/2006/main">
                  <a:graphicData uri="http://schemas.microsoft.com/office/word/2010/wordprocessingShape">
                    <wps:wsp>
                      <wps:cNvSpPr/>
                      <wps:spPr>
                        <a:xfrm>
                          <a:off x="3653090" y="3641011"/>
                          <a:ext cx="3385820" cy="277978"/>
                        </a:xfrm>
                        <a:prstGeom prst="rect">
                          <a:avLst/>
                        </a:prstGeom>
                        <a:solidFill>
                          <a:srgbClr val="FFFFFF"/>
                        </a:solidFill>
                        <a:ln>
                          <a:noFill/>
                        </a:ln>
                      </wps:spPr>
                      <wps:txbx>
                        <w:txbxContent>
                          <w:p w14:paraId="0D0AB30B" w14:textId="77777777" w:rsidR="00A74507" w:rsidRDefault="002E07E3">
                            <w:pPr>
                              <w:spacing w:after="0" w:line="240" w:lineRule="auto"/>
                              <w:jc w:val="center"/>
                              <w:textDirection w:val="btLr"/>
                            </w:pPr>
                            <w:r>
                              <w:rPr>
                                <w:rFonts w:ascii="Arial" w:eastAsia="Arial" w:hAnsi="Arial" w:cs="Arial"/>
                                <w:i/>
                                <w:color w:val="44546A"/>
                                <w:sz w:val="18"/>
                              </w:rPr>
                              <w:t>Figure : Trust Fund Rations</w:t>
                            </w:r>
                          </w:p>
                          <w:p w14:paraId="6E836C4F" w14:textId="77777777" w:rsidR="00A74507" w:rsidRDefault="002E07E3">
                            <w:pPr>
                              <w:spacing w:after="0" w:line="240" w:lineRule="auto"/>
                              <w:jc w:val="center"/>
                              <w:textDirection w:val="btLr"/>
                            </w:pPr>
                            <w:r>
                              <w:rPr>
                                <w:rFonts w:ascii="Arial" w:eastAsia="Arial" w:hAnsi="Arial" w:cs="Arial"/>
                                <w:i/>
                                <w:color w:val="44546A"/>
                                <w:sz w:val="18"/>
                              </w:rPr>
                              <w:t xml:space="preserve"> Source: Status of the Social Security and Medicare Programs</w:t>
                            </w:r>
                          </w:p>
                        </w:txbxContent>
                      </wps:txbx>
                      <wps:bodyPr spcFirstLastPara="1" wrap="square" lIns="0" tIns="0" rIns="0" bIns="0" anchor="t" anchorCtr="0">
                        <a:noAutofit/>
                      </wps:bodyPr>
                    </wps:wsp>
                  </a:graphicData>
                </a:graphic>
              </wp:anchor>
            </w:drawing>
          </mc:Choice>
          <mc:Fallback>
            <w:pict>
              <v:rect w14:anchorId="63B4C87D" id="Rectangle 25" o:spid="_x0000_s1027" style="position:absolute;margin-left:201pt;margin-top:225pt;width:267.35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" stroked="f">
                <v:textbox inset="0,0,0,0">
                  <w:txbxContent>
                    <w:p w14:paraId="0D0AB30B" w14:textId="77777777" w:rsidR="00A74507" w:rsidRDefault="002E07E3">
                      <w:pPr>
                        <w:spacing w:after="0" w:line="240" w:lineRule="auto"/>
                        <w:jc w:val="center"/>
                        <w:textDirection w:val="btLr"/>
                      </w:pPr>
                      <w:r>
                        <w:rPr>
                          <w:rFonts w:ascii="Arial" w:eastAsia="Arial" w:hAnsi="Arial" w:cs="Arial"/>
                          <w:i/>
                          <w:color w:val="44546A"/>
                          <w:sz w:val="18"/>
                        </w:rPr>
                        <w:t>Figure : Trust Fund Rations</w:t>
                      </w:r>
                    </w:p>
                    <w:p w14:paraId="6E836C4F" w14:textId="77777777" w:rsidR="00A74507" w:rsidRDefault="002E07E3">
                      <w:pPr>
                        <w:spacing w:after="0" w:line="240" w:lineRule="auto"/>
                        <w:jc w:val="center"/>
                        <w:textDirection w:val="btLr"/>
                      </w:pPr>
                      <w:r>
                        <w:rPr>
                          <w:rFonts w:ascii="Arial" w:eastAsia="Arial" w:hAnsi="Arial" w:cs="Arial"/>
                          <w:i/>
                          <w:color w:val="44546A"/>
                          <w:sz w:val="18"/>
                        </w:rPr>
                        <w:t xml:space="preserve"> Source: Status of the Social Security and Medicare Programs</w:t>
                      </w:r>
                    </w:p>
                  </w:txbxContent>
                </v:textbox>
                <w10:wrap type="square"/>
              </v:rect>
            </w:pict>
          </mc:Fallback>
        </mc:AlternateContent>
      </w:r>
    </w:p>
    <w:p w14:paraId="7A90F3F9" w14:textId="77777777" w:rsidR="00A74507" w:rsidRDefault="00A74507">
      <w:pPr>
        <w:spacing w:after="0" w:line="240" w:lineRule="auto"/>
        <w:rPr>
          <w:sz w:val="24"/>
          <w:szCs w:val="24"/>
        </w:rPr>
      </w:pPr>
    </w:p>
    <w:p w14:paraId="25EC8FCB" w14:textId="77777777" w:rsidR="00A74507" w:rsidRDefault="002E07E3">
      <w:pPr>
        <w:keepNext/>
        <w:ind w:firstLine="720"/>
        <w:rPr>
          <w:color w:val="212121"/>
          <w:sz w:val="24"/>
          <w:szCs w:val="24"/>
          <w:highlight w:val="white"/>
        </w:rPr>
      </w:pPr>
      <w:r>
        <w:rPr>
          <w:color w:val="212121"/>
          <w:sz w:val="24"/>
          <w:szCs w:val="24"/>
          <w:highlight w:val="white"/>
        </w:rPr>
        <w:t>On the other hand, a 20.3% reduction in benefits would be detrimental to millions of Americans.  According to the Economic Well-Being of U.S. Households Sur</w:t>
      </w:r>
      <w:r>
        <w:rPr>
          <w:color w:val="212121"/>
          <w:sz w:val="24"/>
          <w:szCs w:val="24"/>
          <w:highlight w:val="white"/>
        </w:rPr>
        <w:t>vey in 2021, in the last 12-month Social Security accounted for a source of income for 92% of retirees. This is accentuated by Dushi and Trenkamp’s findings that found Social Security as a proportion of family income (Dushi and Trenkamp, 2021):</w:t>
      </w:r>
    </w:p>
    <w:p w14:paraId="7F552DCB" w14:textId="77777777" w:rsidR="00A74507" w:rsidRDefault="002E07E3">
      <w:pPr>
        <w:keepNext/>
        <w:numPr>
          <w:ilvl w:val="0"/>
          <w:numId w:val="3"/>
        </w:numPr>
        <w:pBdr>
          <w:top w:val="nil"/>
          <w:left w:val="nil"/>
          <w:bottom w:val="nil"/>
          <w:right w:val="nil"/>
          <w:between w:val="nil"/>
        </w:pBdr>
        <w:spacing w:after="0"/>
        <w:rPr>
          <w:color w:val="212121"/>
          <w:sz w:val="24"/>
          <w:szCs w:val="24"/>
          <w:highlight w:val="white"/>
        </w:rPr>
      </w:pPr>
      <w:r>
        <w:rPr>
          <w:color w:val="212121"/>
          <w:sz w:val="24"/>
          <w:szCs w:val="24"/>
          <w:highlight w:val="white"/>
        </w:rPr>
        <w:t>50% or more of income (40% of families)</w:t>
      </w:r>
    </w:p>
    <w:p w14:paraId="01CAB6CB" w14:textId="77777777" w:rsidR="00A74507" w:rsidRDefault="002E07E3">
      <w:pPr>
        <w:keepNext/>
        <w:numPr>
          <w:ilvl w:val="0"/>
          <w:numId w:val="3"/>
        </w:numPr>
        <w:pBdr>
          <w:top w:val="nil"/>
          <w:left w:val="nil"/>
          <w:bottom w:val="nil"/>
          <w:right w:val="nil"/>
          <w:between w:val="nil"/>
        </w:pBdr>
        <w:spacing w:after="0"/>
        <w:rPr>
          <w:color w:val="212121"/>
          <w:sz w:val="24"/>
          <w:szCs w:val="24"/>
          <w:highlight w:val="white"/>
        </w:rPr>
      </w:pPr>
      <w:r>
        <w:rPr>
          <w:color w:val="212121"/>
          <w:sz w:val="24"/>
          <w:szCs w:val="24"/>
          <w:highlight w:val="white"/>
        </w:rPr>
        <w:t>75% or more of income (21% of families)</w:t>
      </w:r>
    </w:p>
    <w:p w14:paraId="58D3288A" w14:textId="77777777" w:rsidR="00A74507" w:rsidRDefault="002E07E3">
      <w:pPr>
        <w:keepNext/>
        <w:numPr>
          <w:ilvl w:val="0"/>
          <w:numId w:val="3"/>
        </w:numPr>
        <w:pBdr>
          <w:top w:val="nil"/>
          <w:left w:val="nil"/>
          <w:bottom w:val="nil"/>
          <w:right w:val="nil"/>
          <w:between w:val="nil"/>
        </w:pBdr>
        <w:rPr>
          <w:color w:val="212121"/>
          <w:sz w:val="24"/>
          <w:szCs w:val="24"/>
          <w:highlight w:val="white"/>
        </w:rPr>
      </w:pPr>
      <w:r>
        <w:rPr>
          <w:color w:val="212121"/>
          <w:sz w:val="24"/>
          <w:szCs w:val="24"/>
          <w:highlight w:val="white"/>
        </w:rPr>
        <w:t>90% or more of income (14% of families)</w:t>
      </w:r>
    </w:p>
    <w:p w14:paraId="37C72913" w14:textId="77777777" w:rsidR="00A74507" w:rsidRDefault="002E07E3">
      <w:pPr>
        <w:keepNext/>
        <w:rPr>
          <w:color w:val="212121"/>
          <w:sz w:val="24"/>
          <w:szCs w:val="24"/>
          <w:highlight w:val="white"/>
        </w:rPr>
      </w:pPr>
      <w:r>
        <w:rPr>
          <w:color w:val="212121"/>
          <w:sz w:val="24"/>
          <w:szCs w:val="24"/>
          <w:highlight w:val="white"/>
        </w:rPr>
        <w:t xml:space="preserve"> Additionally, the Poverty in the United States: 2021 report by the U.S. Census states that social security prevents 26.3 million from b</w:t>
      </w:r>
      <w:r>
        <w:rPr>
          <w:color w:val="212121"/>
          <w:sz w:val="24"/>
          <w:szCs w:val="24"/>
          <w:highlight w:val="white"/>
        </w:rPr>
        <w:t>eing in poverty and 15 million of those includes people 65 years old and older (Poverty in the United States 2021)(Appendix 7). Finally, 67% of workers  have less than $250,000 saved for retirement (Retirement Confidence Survey 2022) (Appendix 10).  This s</w:t>
      </w:r>
      <w:r>
        <w:rPr>
          <w:color w:val="212121"/>
          <w:sz w:val="24"/>
          <w:szCs w:val="24"/>
          <w:highlight w:val="white"/>
        </w:rPr>
        <w:t>hows that the impact from a change in benefits could be catastrophic for a majority of the retired population. With social security being a critical source of income post-retirement, proposing a 20.3 reduction would never see support. Overall, both proposa</w:t>
      </w:r>
      <w:r>
        <w:rPr>
          <w:color w:val="212121"/>
          <w:sz w:val="24"/>
          <w:szCs w:val="24"/>
          <w:highlight w:val="white"/>
        </w:rPr>
        <w:t xml:space="preserve">ls would negatively impact millions and might not fix the pressures on the system as these trends progress. </w:t>
      </w:r>
    </w:p>
    <w:p w14:paraId="6E7FA0CE" w14:textId="77777777" w:rsidR="00A74507" w:rsidRDefault="002E07E3">
      <w:pPr>
        <w:ind w:firstLine="720"/>
        <w:rPr>
          <w:color w:val="212121"/>
          <w:sz w:val="24"/>
          <w:szCs w:val="24"/>
          <w:highlight w:val="white"/>
        </w:rPr>
      </w:pPr>
      <w:r>
        <w:rPr>
          <w:color w:val="212121"/>
          <w:sz w:val="24"/>
          <w:szCs w:val="24"/>
          <w:highlight w:val="white"/>
        </w:rPr>
        <w:t>These two proposals are not optimal, but is there any good solution? As highlighted before, most Americans don’t save for retirement. It is too eas</w:t>
      </w:r>
      <w:r>
        <w:rPr>
          <w:color w:val="212121"/>
          <w:sz w:val="24"/>
          <w:szCs w:val="24"/>
          <w:highlight w:val="white"/>
        </w:rPr>
        <w:t xml:space="preserve">y to over rely on social security and not worry about coming up with one’s own retirement plan. A potential solution is to foster </w:t>
      </w:r>
      <w:r>
        <w:rPr>
          <w:color w:val="212121"/>
          <w:sz w:val="24"/>
          <w:szCs w:val="24"/>
          <w:highlight w:val="white"/>
        </w:rPr>
        <w:lastRenderedPageBreak/>
        <w:t>the idea of saving for retirement, as there might be no other alternative. It requires a better understanding of financial beh</w:t>
      </w:r>
      <w:r>
        <w:rPr>
          <w:color w:val="212121"/>
          <w:sz w:val="24"/>
          <w:szCs w:val="24"/>
          <w:highlight w:val="white"/>
        </w:rPr>
        <w:t xml:space="preserve">aviors, an outspread of financial literacy, and accessibility to saving and investment tools. </w:t>
      </w:r>
      <w:r>
        <w:rPr>
          <w:noProof/>
        </w:rPr>
        <w:drawing>
          <wp:anchor distT="0" distB="0" distL="114300" distR="114300" simplePos="0" relativeHeight="251662336" behindDoc="0" locked="0" layoutInCell="1" hidden="0" allowOverlap="1" wp14:anchorId="200CBD7E" wp14:editId="23CE3EDA">
            <wp:simplePos x="0" y="0"/>
            <wp:positionH relativeFrom="column">
              <wp:posOffset>-563345</wp:posOffset>
            </wp:positionH>
            <wp:positionV relativeFrom="paragraph">
              <wp:posOffset>0</wp:posOffset>
            </wp:positionV>
            <wp:extent cx="3138170" cy="3037205"/>
            <wp:effectExtent l="0" t="0" r="0" b="0"/>
            <wp:wrapSquare wrapText="bothSides" distT="0" distB="0" distL="114300" distR="114300"/>
            <wp:docPr id="3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138170" cy="3037205"/>
                    </a:xfrm>
                    <a:prstGeom prst="rect">
                      <a:avLst/>
                    </a:prstGeom>
                    <a:ln/>
                  </pic:spPr>
                </pic:pic>
              </a:graphicData>
            </a:graphic>
          </wp:anchor>
        </w:drawing>
      </w:r>
    </w:p>
    <w:p w14:paraId="3148F60C" w14:textId="77777777" w:rsidR="00A74507" w:rsidRDefault="002E07E3">
      <w:pPr>
        <w:ind w:firstLine="720"/>
        <w:rPr>
          <w:color w:val="212121"/>
          <w:sz w:val="24"/>
          <w:szCs w:val="24"/>
          <w:highlight w:val="white"/>
        </w:rPr>
      </w:pPr>
      <w:r>
        <w:rPr>
          <w:color w:val="212121"/>
          <w:sz w:val="24"/>
          <w:szCs w:val="24"/>
          <w:highlight w:val="white"/>
        </w:rPr>
        <w:t>Retirement isn’t a fundamental human right, it is a byproduct of a prosperous and concordant society. It is a privilege from careful planning and foresight. Und</w:t>
      </w:r>
      <w:r>
        <w:rPr>
          <w:color w:val="212121"/>
          <w:sz w:val="24"/>
          <w:szCs w:val="24"/>
          <w:highlight w:val="white"/>
        </w:rPr>
        <w:t>erstanding behavior and attitudes towards money and retirement are a critical issue in solving this problem we all face. This issue cannot continue to be ignored as the retirement time bomb is ticking.</w:t>
      </w:r>
    </w:p>
    <w:p w14:paraId="571403E6" w14:textId="77777777" w:rsidR="00A74507" w:rsidRDefault="002E07E3">
      <w:pPr>
        <w:ind w:firstLine="720"/>
        <w:rPr>
          <w:sz w:val="24"/>
          <w:szCs w:val="24"/>
        </w:rPr>
      </w:pPr>
      <w:r>
        <w:rPr>
          <w:noProof/>
        </w:rPr>
        <mc:AlternateContent>
          <mc:Choice Requires="wps">
            <w:drawing>
              <wp:anchor distT="0" distB="0" distL="114300" distR="114300" simplePos="0" relativeHeight="251663360" behindDoc="0" locked="0" layoutInCell="1" hidden="0" allowOverlap="1" wp14:anchorId="3A4DEDE3" wp14:editId="5AABFC3F">
                <wp:simplePos x="0" y="0"/>
                <wp:positionH relativeFrom="column">
                  <wp:posOffset>-571499</wp:posOffset>
                </wp:positionH>
                <wp:positionV relativeFrom="paragraph">
                  <wp:posOffset>368300</wp:posOffset>
                </wp:positionV>
                <wp:extent cx="635" cy="12700"/>
                <wp:effectExtent l="0" t="0" r="0" b="0"/>
                <wp:wrapSquare wrapText="bothSides" distT="0" distB="0" distL="114300" distR="114300"/>
                <wp:docPr id="26" name="Rectangle 26"/>
                <wp:cNvGraphicFramePr/>
                <a:graphic xmlns:a="http://schemas.openxmlformats.org/drawingml/2006/main">
                  <a:graphicData uri="http://schemas.microsoft.com/office/word/2010/wordprocessingShape">
                    <wps:wsp>
                      <wps:cNvSpPr/>
                      <wps:spPr>
                        <a:xfrm>
                          <a:off x="3776915" y="3779683"/>
                          <a:ext cx="3138170" cy="635"/>
                        </a:xfrm>
                        <a:prstGeom prst="rect">
                          <a:avLst/>
                        </a:prstGeom>
                        <a:solidFill>
                          <a:srgbClr val="FFFFFF"/>
                        </a:solidFill>
                        <a:ln>
                          <a:noFill/>
                        </a:ln>
                      </wps:spPr>
                      <wps:txbx>
                        <w:txbxContent>
                          <w:p w14:paraId="7FF0FB99" w14:textId="77777777" w:rsidR="00A74507" w:rsidRDefault="002E07E3">
                            <w:pPr>
                              <w:spacing w:after="0" w:line="240" w:lineRule="auto"/>
                              <w:jc w:val="center"/>
                              <w:textDirection w:val="btLr"/>
                            </w:pPr>
                            <w:r>
                              <w:rPr>
                                <w:rFonts w:ascii="Arial" w:eastAsia="Arial" w:hAnsi="Arial" w:cs="Arial"/>
                                <w:i/>
                                <w:color w:val="44546A"/>
                                <w:sz w:val="18"/>
                              </w:rPr>
                              <w:t>Figure 3: Source of Income in Retirement</w:t>
                            </w:r>
                          </w:p>
                          <w:p w14:paraId="5AF12600" w14:textId="77777777" w:rsidR="00A74507" w:rsidRDefault="002E07E3">
                            <w:pPr>
                              <w:spacing w:after="0" w:line="240" w:lineRule="auto"/>
                              <w:jc w:val="center"/>
                              <w:textDirection w:val="btLr"/>
                            </w:pPr>
                            <w:r>
                              <w:rPr>
                                <w:rFonts w:ascii="Arial" w:eastAsia="Arial" w:hAnsi="Arial" w:cs="Arial"/>
                                <w:i/>
                                <w:color w:val="44546A"/>
                                <w:sz w:val="18"/>
                              </w:rPr>
                              <w:t>Source: Ec</w:t>
                            </w:r>
                            <w:r>
                              <w:rPr>
                                <w:rFonts w:ascii="Arial" w:eastAsia="Arial" w:hAnsi="Arial" w:cs="Arial"/>
                                <w:i/>
                                <w:color w:val="44546A"/>
                                <w:sz w:val="18"/>
                              </w:rPr>
                              <w:t>onomic Well-Being of U.S. Households Survey in 2021</w:t>
                            </w:r>
                          </w:p>
                        </w:txbxContent>
                      </wps:txbx>
                      <wps:bodyPr spcFirstLastPara="1" wrap="square" lIns="0" tIns="0" rIns="0" bIns="0" anchor="t" anchorCtr="0">
                        <a:noAutofit/>
                      </wps:bodyPr>
                    </wps:wsp>
                  </a:graphicData>
                </a:graphic>
              </wp:anchor>
            </w:drawing>
          </mc:Choice>
          <mc:Fallback>
            <w:pict>
              <v:rect w14:anchorId="3A4DEDE3" id="Rectangle 26" o:spid="_x0000_s1028" style="position:absolute;left:0;text-align:left;margin-left:-45pt;margin-top:29pt;width:.05pt;height: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" stroked="f">
                <v:textbox inset="0,0,0,0">
                  <w:txbxContent>
                    <w:p w14:paraId="7FF0FB99" w14:textId="77777777" w:rsidR="00A74507" w:rsidRDefault="002E07E3">
                      <w:pPr>
                        <w:spacing w:after="0" w:line="240" w:lineRule="auto"/>
                        <w:jc w:val="center"/>
                        <w:textDirection w:val="btLr"/>
                      </w:pPr>
                      <w:r>
                        <w:rPr>
                          <w:rFonts w:ascii="Arial" w:eastAsia="Arial" w:hAnsi="Arial" w:cs="Arial"/>
                          <w:i/>
                          <w:color w:val="44546A"/>
                          <w:sz w:val="18"/>
                        </w:rPr>
                        <w:t>Figure 3: Source of Income in Retirement</w:t>
                      </w:r>
                    </w:p>
                    <w:p w14:paraId="5AF12600" w14:textId="77777777" w:rsidR="00A74507" w:rsidRDefault="002E07E3">
                      <w:pPr>
                        <w:spacing w:after="0" w:line="240" w:lineRule="auto"/>
                        <w:jc w:val="center"/>
                        <w:textDirection w:val="btLr"/>
                      </w:pPr>
                      <w:r>
                        <w:rPr>
                          <w:rFonts w:ascii="Arial" w:eastAsia="Arial" w:hAnsi="Arial" w:cs="Arial"/>
                          <w:i/>
                          <w:color w:val="44546A"/>
                          <w:sz w:val="18"/>
                        </w:rPr>
                        <w:t>Source: Ec</w:t>
                      </w:r>
                      <w:r>
                        <w:rPr>
                          <w:rFonts w:ascii="Arial" w:eastAsia="Arial" w:hAnsi="Arial" w:cs="Arial"/>
                          <w:i/>
                          <w:color w:val="44546A"/>
                          <w:sz w:val="18"/>
                        </w:rPr>
                        <w:t>onomic Well-Being of U.S. Households Survey in 2021</w:t>
                      </w:r>
                    </w:p>
                  </w:txbxContent>
                </v:textbox>
                <w10:wrap type="square"/>
              </v:rect>
            </w:pict>
          </mc:Fallback>
        </mc:AlternateContent>
      </w:r>
    </w:p>
    <w:p w14:paraId="35E66AB8" w14:textId="77777777" w:rsidR="00A74507" w:rsidRDefault="00A74507">
      <w:pPr>
        <w:ind w:firstLine="720"/>
        <w:rPr>
          <w:sz w:val="24"/>
          <w:szCs w:val="24"/>
        </w:rPr>
      </w:pPr>
    </w:p>
    <w:p w14:paraId="6398D85A" w14:textId="77777777" w:rsidR="00A74507" w:rsidRDefault="00A74507">
      <w:pPr>
        <w:ind w:firstLine="720"/>
        <w:rPr>
          <w:sz w:val="24"/>
          <w:szCs w:val="24"/>
        </w:rPr>
      </w:pPr>
    </w:p>
    <w:p w14:paraId="79B0E7C8" w14:textId="77777777" w:rsidR="00A74507" w:rsidRDefault="00A74507">
      <w:pPr>
        <w:ind w:firstLine="720"/>
        <w:rPr>
          <w:sz w:val="24"/>
          <w:szCs w:val="24"/>
        </w:rPr>
      </w:pPr>
    </w:p>
    <w:p w14:paraId="12B8E3DD" w14:textId="77777777" w:rsidR="00A74507" w:rsidRDefault="00A74507">
      <w:pPr>
        <w:ind w:firstLine="720"/>
        <w:rPr>
          <w:sz w:val="24"/>
          <w:szCs w:val="24"/>
        </w:rPr>
      </w:pPr>
    </w:p>
    <w:p w14:paraId="5A0A40AB" w14:textId="77777777" w:rsidR="00A74507" w:rsidRDefault="00A74507">
      <w:pPr>
        <w:ind w:firstLine="720"/>
        <w:rPr>
          <w:sz w:val="24"/>
          <w:szCs w:val="24"/>
        </w:rPr>
      </w:pPr>
    </w:p>
    <w:p w14:paraId="565FC07A" w14:textId="77777777" w:rsidR="00A74507" w:rsidRDefault="00A74507">
      <w:pPr>
        <w:ind w:firstLine="720"/>
        <w:rPr>
          <w:sz w:val="24"/>
          <w:szCs w:val="24"/>
        </w:rPr>
      </w:pPr>
    </w:p>
    <w:p w14:paraId="3267F8CA" w14:textId="77777777" w:rsidR="00A74507" w:rsidRDefault="00A74507">
      <w:pPr>
        <w:ind w:firstLine="720"/>
        <w:rPr>
          <w:sz w:val="24"/>
          <w:szCs w:val="24"/>
        </w:rPr>
      </w:pPr>
    </w:p>
    <w:p w14:paraId="59C02982" w14:textId="77777777" w:rsidR="00A74507" w:rsidRDefault="00A74507">
      <w:pPr>
        <w:ind w:firstLine="720"/>
        <w:rPr>
          <w:sz w:val="24"/>
          <w:szCs w:val="24"/>
        </w:rPr>
      </w:pPr>
    </w:p>
    <w:p w14:paraId="3C054F0C" w14:textId="77777777" w:rsidR="00A74507" w:rsidRDefault="00A74507">
      <w:pPr>
        <w:ind w:firstLine="720"/>
        <w:rPr>
          <w:sz w:val="24"/>
          <w:szCs w:val="24"/>
        </w:rPr>
      </w:pPr>
    </w:p>
    <w:p w14:paraId="32B64BA3" w14:textId="77777777" w:rsidR="00A74507" w:rsidRDefault="00A74507">
      <w:pPr>
        <w:ind w:firstLine="720"/>
        <w:rPr>
          <w:sz w:val="24"/>
          <w:szCs w:val="24"/>
        </w:rPr>
      </w:pPr>
    </w:p>
    <w:p w14:paraId="1680829C" w14:textId="77777777" w:rsidR="00A74507" w:rsidRDefault="00A74507">
      <w:pPr>
        <w:ind w:firstLine="720"/>
        <w:rPr>
          <w:sz w:val="24"/>
          <w:szCs w:val="24"/>
        </w:rPr>
      </w:pPr>
    </w:p>
    <w:p w14:paraId="5B1F5EB5" w14:textId="77777777" w:rsidR="00A74507" w:rsidRDefault="00A74507">
      <w:pPr>
        <w:ind w:firstLine="720"/>
        <w:rPr>
          <w:sz w:val="24"/>
          <w:szCs w:val="24"/>
        </w:rPr>
      </w:pPr>
    </w:p>
    <w:p w14:paraId="5D811CE5" w14:textId="77777777" w:rsidR="00A74507" w:rsidRDefault="00A74507">
      <w:pPr>
        <w:ind w:firstLine="720"/>
        <w:rPr>
          <w:sz w:val="24"/>
          <w:szCs w:val="24"/>
        </w:rPr>
      </w:pPr>
    </w:p>
    <w:p w14:paraId="3D3E608C" w14:textId="77777777" w:rsidR="00A74507" w:rsidRDefault="00A74507">
      <w:pPr>
        <w:ind w:firstLine="720"/>
        <w:rPr>
          <w:sz w:val="24"/>
          <w:szCs w:val="24"/>
        </w:rPr>
      </w:pPr>
    </w:p>
    <w:p w14:paraId="1D0AAF28" w14:textId="77777777" w:rsidR="00A74507" w:rsidRDefault="00A74507">
      <w:pPr>
        <w:ind w:firstLine="720"/>
        <w:rPr>
          <w:sz w:val="24"/>
          <w:szCs w:val="24"/>
        </w:rPr>
      </w:pPr>
    </w:p>
    <w:p w14:paraId="3DEE5245" w14:textId="77777777" w:rsidR="00A74507" w:rsidRDefault="00A74507">
      <w:pPr>
        <w:ind w:firstLine="720"/>
        <w:rPr>
          <w:sz w:val="24"/>
          <w:szCs w:val="24"/>
        </w:rPr>
      </w:pPr>
    </w:p>
    <w:p w14:paraId="7AD6F881" w14:textId="77777777" w:rsidR="00A74507" w:rsidRDefault="00A74507">
      <w:pPr>
        <w:ind w:firstLine="720"/>
        <w:rPr>
          <w:sz w:val="24"/>
          <w:szCs w:val="24"/>
        </w:rPr>
      </w:pPr>
    </w:p>
    <w:p w14:paraId="24086C18" w14:textId="77777777" w:rsidR="00A74507" w:rsidRDefault="00A74507">
      <w:pPr>
        <w:ind w:firstLine="720"/>
        <w:rPr>
          <w:sz w:val="24"/>
          <w:szCs w:val="24"/>
        </w:rPr>
      </w:pPr>
    </w:p>
    <w:p w14:paraId="722798AD" w14:textId="77777777" w:rsidR="00A74507" w:rsidRDefault="002E07E3">
      <w:pPr>
        <w:rPr>
          <w:b/>
        </w:rPr>
      </w:pPr>
      <w:r>
        <w:rPr>
          <w:b/>
        </w:rPr>
        <w:t>Appendix:</w:t>
      </w:r>
    </w:p>
    <w:p w14:paraId="74191B62" w14:textId="77777777" w:rsidR="00A74507" w:rsidRDefault="002E07E3">
      <w:r>
        <w:t>Appendix 1: Life Expectancy</w:t>
      </w:r>
    </w:p>
    <w:p w14:paraId="023C663B" w14:textId="77777777" w:rsidR="00A74507" w:rsidRDefault="002E07E3">
      <w:r>
        <w:rPr>
          <w:noProof/>
        </w:rPr>
        <w:drawing>
          <wp:anchor distT="0" distB="0" distL="114300" distR="114300" simplePos="0" relativeHeight="251664384" behindDoc="0" locked="0" layoutInCell="1" hidden="0" allowOverlap="1" wp14:anchorId="12F8F47A" wp14:editId="73C79BE6">
            <wp:simplePos x="0" y="0"/>
            <wp:positionH relativeFrom="column">
              <wp:posOffset>607060</wp:posOffset>
            </wp:positionH>
            <wp:positionV relativeFrom="paragraph">
              <wp:posOffset>42545</wp:posOffset>
            </wp:positionV>
            <wp:extent cx="5046980" cy="3049905"/>
            <wp:effectExtent l="0" t="0" r="0" b="0"/>
            <wp:wrapSquare wrapText="bothSides" distT="0" distB="0" distL="114300" distR="11430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622AA100" w14:textId="77777777" w:rsidR="00A74507" w:rsidRDefault="00A74507"/>
    <w:p w14:paraId="186F665B" w14:textId="77777777" w:rsidR="00A74507" w:rsidRDefault="00A74507"/>
    <w:p w14:paraId="04B66404" w14:textId="77777777" w:rsidR="00A74507" w:rsidRDefault="00A74507"/>
    <w:p w14:paraId="64278E58" w14:textId="77777777" w:rsidR="00A74507" w:rsidRDefault="00A74507"/>
    <w:p w14:paraId="5C8CBC34" w14:textId="77777777" w:rsidR="00A74507" w:rsidRDefault="00A74507"/>
    <w:p w14:paraId="1E1D08DC" w14:textId="77777777" w:rsidR="00A74507" w:rsidRDefault="00A74507"/>
    <w:p w14:paraId="5AE99DF6" w14:textId="77777777" w:rsidR="00A74507" w:rsidRDefault="00A74507"/>
    <w:p w14:paraId="4F5DCF7E" w14:textId="77777777" w:rsidR="00A74507" w:rsidRDefault="00A74507"/>
    <w:p w14:paraId="5CEDE88B" w14:textId="77777777" w:rsidR="00A74507" w:rsidRDefault="002E07E3">
      <w:r>
        <w:rPr>
          <w:noProof/>
        </w:rPr>
        <mc:AlternateContent>
          <mc:Choice Requires="wps">
            <w:drawing>
              <wp:anchor distT="0" distB="0" distL="114300" distR="114300" simplePos="0" relativeHeight="251665408" behindDoc="0" locked="0" layoutInCell="1" hidden="0" allowOverlap="1" wp14:anchorId="4BB4AD81" wp14:editId="6D711DE1">
                <wp:simplePos x="0" y="0"/>
                <wp:positionH relativeFrom="column">
                  <wp:posOffset>635000</wp:posOffset>
                </wp:positionH>
                <wp:positionV relativeFrom="paragraph">
                  <wp:posOffset>241300</wp:posOffset>
                </wp:positionV>
                <wp:extent cx="635" cy="12700"/>
                <wp:effectExtent l="0" t="0" r="0" b="0"/>
                <wp:wrapSquare wrapText="bothSides" distT="0" distB="0" distL="114300" distR="114300"/>
                <wp:docPr id="24" name="Rectangle 24"/>
                <wp:cNvGraphicFramePr/>
                <a:graphic xmlns:a="http://schemas.openxmlformats.org/drawingml/2006/main">
                  <a:graphicData uri="http://schemas.microsoft.com/office/word/2010/wordprocessingShape">
                    <wps:wsp>
                      <wps:cNvSpPr/>
                      <wps:spPr>
                        <a:xfrm>
                          <a:off x="2664713" y="3779683"/>
                          <a:ext cx="5362575" cy="635"/>
                        </a:xfrm>
                        <a:prstGeom prst="rect">
                          <a:avLst/>
                        </a:prstGeom>
                        <a:solidFill>
                          <a:srgbClr val="FFFFFF"/>
                        </a:solidFill>
                        <a:ln>
                          <a:noFill/>
                        </a:ln>
                      </wps:spPr>
                      <wps:txbx>
                        <w:txbxContent>
                          <w:p w14:paraId="22362BFC" w14:textId="77777777" w:rsidR="00A74507" w:rsidRDefault="002E07E3">
                            <w:pPr>
                              <w:spacing w:after="200" w:line="240" w:lineRule="auto"/>
                              <w:textDirection w:val="btLr"/>
                            </w:pPr>
                            <w:r>
                              <w:rPr>
                                <w:rFonts w:ascii="Arial" w:eastAsia="Arial" w:hAnsi="Arial" w:cs="Arial"/>
                                <w:i/>
                                <w:color w:val="44546A"/>
                                <w:sz w:val="18"/>
                              </w:rPr>
                              <w:t>Source: St. Louis Federal Reserve</w:t>
                            </w:r>
                          </w:p>
                        </w:txbxContent>
                      </wps:txbx>
                      <wps:bodyPr spcFirstLastPara="1" wrap="square" lIns="0" tIns="0" rIns="0" bIns="0" anchor="t" anchorCtr="0">
                        <a:noAutofit/>
                      </wps:bodyPr>
                    </wps:wsp>
                  </a:graphicData>
                </a:graphic>
              </wp:anchor>
            </w:drawing>
          </mc:Choice>
          <mc:Fallback>
            <w:pict>
              <v:rect w14:anchorId="4BB4AD81" id="Rectangle 24" o:spid="_x0000_s1029" style="position:absolute;margin-left:50pt;margin-top:19pt;width:.05pt;height: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" stroked="f">
                <v:textbox inset="0,0,0,0">
                  <w:txbxContent>
                    <w:p w14:paraId="22362BFC" w14:textId="77777777" w:rsidR="00A74507" w:rsidRDefault="002E07E3">
                      <w:pPr>
                        <w:spacing w:after="200" w:line="240" w:lineRule="auto"/>
                        <w:textDirection w:val="btLr"/>
                      </w:pPr>
                      <w:r>
                        <w:rPr>
                          <w:rFonts w:ascii="Arial" w:eastAsia="Arial" w:hAnsi="Arial" w:cs="Arial"/>
                          <w:i/>
                          <w:color w:val="44546A"/>
                          <w:sz w:val="18"/>
                        </w:rPr>
                        <w:t>Source: St. Louis Federal Reserve</w:t>
                      </w:r>
                    </w:p>
                  </w:txbxContent>
                </v:textbox>
                <w10:wrap type="square"/>
              </v:rect>
            </w:pict>
          </mc:Fallback>
        </mc:AlternateContent>
      </w:r>
    </w:p>
    <w:p w14:paraId="2DFEF92F" w14:textId="77777777" w:rsidR="00A74507" w:rsidRDefault="00A74507"/>
    <w:p w14:paraId="29AA4E00" w14:textId="77777777" w:rsidR="00A74507" w:rsidRDefault="00A74507"/>
    <w:p w14:paraId="057F2C3F" w14:textId="77777777" w:rsidR="00A74507" w:rsidRDefault="00A74507"/>
    <w:p w14:paraId="7AD122FB" w14:textId="77777777" w:rsidR="00A74507" w:rsidRDefault="002E07E3">
      <w:r>
        <w:rPr>
          <w:noProof/>
        </w:rPr>
        <w:drawing>
          <wp:anchor distT="0" distB="0" distL="114300" distR="114300" simplePos="0" relativeHeight="251666432" behindDoc="0" locked="0" layoutInCell="1" hidden="0" allowOverlap="1" wp14:anchorId="27942FC9" wp14:editId="7AF9ECFC">
            <wp:simplePos x="0" y="0"/>
            <wp:positionH relativeFrom="column">
              <wp:posOffset>-495299</wp:posOffset>
            </wp:positionH>
            <wp:positionV relativeFrom="paragraph">
              <wp:posOffset>380765</wp:posOffset>
            </wp:positionV>
            <wp:extent cx="7087235" cy="2559685"/>
            <wp:effectExtent l="0" t="0" r="0" b="0"/>
            <wp:wrapSquare wrapText="bothSides" distT="0" distB="0" distL="114300" distR="114300"/>
            <wp:docPr id="35" name="image5.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Table&#10;&#10;Description automatically generated"/>
                    <pic:cNvPicPr preferRelativeResize="0"/>
                  </pic:nvPicPr>
                  <pic:blipFill>
                    <a:blip r:embed="rId10"/>
                    <a:srcRect/>
                    <a:stretch>
                      <a:fillRect/>
                    </a:stretch>
                  </pic:blipFill>
                  <pic:spPr>
                    <a:xfrm>
                      <a:off x="0" y="0"/>
                      <a:ext cx="7087235" cy="2559685"/>
                    </a:xfrm>
                    <a:prstGeom prst="rect">
                      <a:avLst/>
                    </a:prstGeom>
                    <a:ln/>
                  </pic:spPr>
                </pic:pic>
              </a:graphicData>
            </a:graphic>
          </wp:anchor>
        </w:drawing>
      </w:r>
    </w:p>
    <w:p w14:paraId="4437FCEE" w14:textId="77777777" w:rsidR="00A74507" w:rsidRDefault="002E07E3">
      <w:r>
        <w:t>Appendix 2: Age Group Projections</w:t>
      </w:r>
    </w:p>
    <w:p w14:paraId="32EF1925" w14:textId="77777777" w:rsidR="00A74507" w:rsidRDefault="00A74507"/>
    <w:p w14:paraId="19A45C63" w14:textId="77777777" w:rsidR="00A74507" w:rsidRDefault="00A74507"/>
    <w:p w14:paraId="5179016E" w14:textId="77777777" w:rsidR="00A74507" w:rsidRDefault="00A74507"/>
    <w:p w14:paraId="2A38AD08" w14:textId="77777777" w:rsidR="00A74507" w:rsidRDefault="002E07E3">
      <w:r>
        <w:t>Appendix 3: Population by Age Over Time</w:t>
      </w:r>
      <w:r>
        <w:rPr>
          <w:noProof/>
        </w:rPr>
        <w:drawing>
          <wp:anchor distT="0" distB="0" distL="114300" distR="114300" simplePos="0" relativeHeight="251667456" behindDoc="0" locked="0" layoutInCell="1" hidden="0" allowOverlap="1" wp14:anchorId="61057DE0" wp14:editId="2ABADDCE">
            <wp:simplePos x="0" y="0"/>
            <wp:positionH relativeFrom="column">
              <wp:posOffset>1</wp:posOffset>
            </wp:positionH>
            <wp:positionV relativeFrom="paragraph">
              <wp:posOffset>313969</wp:posOffset>
            </wp:positionV>
            <wp:extent cx="6223000" cy="3605530"/>
            <wp:effectExtent l="0" t="0" r="0" b="0"/>
            <wp:wrapSquare wrapText="bothSides" distT="0" distB="0" distL="114300" distR="114300"/>
            <wp:docPr id="31" name="image2.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Chart, line chart&#10;&#10;Description automatically generated"/>
                    <pic:cNvPicPr preferRelativeResize="0"/>
                  </pic:nvPicPr>
                  <pic:blipFill>
                    <a:blip r:embed="rId11"/>
                    <a:srcRect/>
                    <a:stretch>
                      <a:fillRect/>
                    </a:stretch>
                  </pic:blipFill>
                  <pic:spPr>
                    <a:xfrm>
                      <a:off x="0" y="0"/>
                      <a:ext cx="6223000" cy="3605530"/>
                    </a:xfrm>
                    <a:prstGeom prst="rect">
                      <a:avLst/>
                    </a:prstGeom>
                    <a:ln/>
                  </pic:spPr>
                </pic:pic>
              </a:graphicData>
            </a:graphic>
          </wp:anchor>
        </w:drawing>
      </w:r>
    </w:p>
    <w:p w14:paraId="5B52DE1A" w14:textId="77777777" w:rsidR="00A74507" w:rsidRDefault="00A74507"/>
    <w:p w14:paraId="151F6F41" w14:textId="77777777" w:rsidR="00A74507" w:rsidRDefault="002E07E3">
      <w:r>
        <w:t>Appendix 4: Fertility Rate in the U.S.</w:t>
      </w:r>
    </w:p>
    <w:p w14:paraId="71FBC1FD" w14:textId="77777777" w:rsidR="00A74507" w:rsidRDefault="00A74507"/>
    <w:p w14:paraId="624DFBA6" w14:textId="77777777" w:rsidR="00A74507" w:rsidRDefault="002E07E3">
      <w:r>
        <w:rPr>
          <w:noProof/>
        </w:rPr>
        <w:lastRenderedPageBreak/>
        <w:drawing>
          <wp:anchor distT="0" distB="0" distL="114300" distR="114300" simplePos="0" relativeHeight="251668480" behindDoc="0" locked="0" layoutInCell="1" hidden="0" allowOverlap="1" wp14:anchorId="5DDC0319" wp14:editId="5C6FB910">
            <wp:simplePos x="0" y="0"/>
            <wp:positionH relativeFrom="column">
              <wp:posOffset>197485</wp:posOffset>
            </wp:positionH>
            <wp:positionV relativeFrom="paragraph">
              <wp:posOffset>6985</wp:posOffset>
            </wp:positionV>
            <wp:extent cx="5383530" cy="3247390"/>
            <wp:effectExtent l="0" t="0" r="0" b="0"/>
            <wp:wrapSquare wrapText="bothSides" distT="0" distB="0" distL="114300" distR="11430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noProof/>
        </w:rPr>
        <mc:AlternateContent>
          <mc:Choice Requires="wps">
            <w:drawing>
              <wp:anchor distT="0" distB="0" distL="114300" distR="114300" simplePos="0" relativeHeight="251669504" behindDoc="0" locked="0" layoutInCell="1" hidden="0" allowOverlap="1" wp14:anchorId="451B72A1" wp14:editId="49095FD5">
                <wp:simplePos x="0" y="0"/>
                <wp:positionH relativeFrom="column">
                  <wp:posOffset>190500</wp:posOffset>
                </wp:positionH>
                <wp:positionV relativeFrom="paragraph">
                  <wp:posOffset>3048000</wp:posOffset>
                </wp:positionV>
                <wp:extent cx="635" cy="12700"/>
                <wp:effectExtent l="0" t="0" r="0" b="0"/>
                <wp:wrapSquare wrapText="bothSides" distT="0" distB="0" distL="114300" distR="114300"/>
                <wp:docPr id="28" name="Rectangle 28"/>
                <wp:cNvGraphicFramePr/>
                <a:graphic xmlns:a="http://schemas.openxmlformats.org/drawingml/2006/main">
                  <a:graphicData uri="http://schemas.microsoft.com/office/word/2010/wordprocessingShape">
                    <wps:wsp>
                      <wps:cNvSpPr/>
                      <wps:spPr>
                        <a:xfrm>
                          <a:off x="2664713" y="3779683"/>
                          <a:ext cx="5362575" cy="635"/>
                        </a:xfrm>
                        <a:prstGeom prst="rect">
                          <a:avLst/>
                        </a:prstGeom>
                        <a:solidFill>
                          <a:srgbClr val="FFFFFF"/>
                        </a:solidFill>
                        <a:ln>
                          <a:noFill/>
                        </a:ln>
                      </wps:spPr>
                      <wps:txbx>
                        <w:txbxContent>
                          <w:p w14:paraId="6D478854" w14:textId="77777777" w:rsidR="00A74507" w:rsidRDefault="002E07E3">
                            <w:pPr>
                              <w:spacing w:after="200" w:line="240" w:lineRule="auto"/>
                              <w:textDirection w:val="btLr"/>
                            </w:pPr>
                            <w:r>
                              <w:rPr>
                                <w:rFonts w:ascii="Arial" w:eastAsia="Arial" w:hAnsi="Arial" w:cs="Arial"/>
                                <w:i/>
                                <w:color w:val="44546A"/>
                                <w:sz w:val="18"/>
                              </w:rPr>
                              <w:t>Source: St. Louis Federal Reserve</w:t>
                            </w:r>
                          </w:p>
                        </w:txbxContent>
                      </wps:txbx>
                      <wps:bodyPr spcFirstLastPara="1" wrap="square" lIns="0" tIns="0" rIns="0" bIns="0" anchor="t" anchorCtr="0">
                        <a:noAutofit/>
                      </wps:bodyPr>
                    </wps:wsp>
                  </a:graphicData>
                </a:graphic>
              </wp:anchor>
            </w:drawing>
          </mc:Choice>
          <mc:Fallback>
            <w:pict>
              <v:rect w14:anchorId="451B72A1" id="Rectangle 28" o:spid="_x0000_s1030" style="position:absolute;margin-left:15pt;margin-top:240pt;width:.05pt;height: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" stroked="f">
                <v:textbox inset="0,0,0,0">
                  <w:txbxContent>
                    <w:p w14:paraId="6D478854" w14:textId="77777777" w:rsidR="00A74507" w:rsidRDefault="002E07E3">
                      <w:pPr>
                        <w:spacing w:after="200" w:line="240" w:lineRule="auto"/>
                        <w:textDirection w:val="btLr"/>
                      </w:pPr>
                      <w:r>
                        <w:rPr>
                          <w:rFonts w:ascii="Arial" w:eastAsia="Arial" w:hAnsi="Arial" w:cs="Arial"/>
                          <w:i/>
                          <w:color w:val="44546A"/>
                          <w:sz w:val="18"/>
                        </w:rPr>
                        <w:t>Source: St. Louis Federal Reserve</w:t>
                      </w:r>
                    </w:p>
                  </w:txbxContent>
                </v:textbox>
                <w10:wrap type="square"/>
              </v:rect>
            </w:pict>
          </mc:Fallback>
        </mc:AlternateContent>
      </w:r>
    </w:p>
    <w:p w14:paraId="64BBE924" w14:textId="77777777" w:rsidR="00A74507" w:rsidRDefault="002E07E3">
      <w:r>
        <w:t>Appendix 5: Historical and Projected Life Expectancy by Gender</w:t>
      </w:r>
      <w:r>
        <w:rPr>
          <w:noProof/>
        </w:rPr>
        <w:drawing>
          <wp:anchor distT="0" distB="0" distL="114300" distR="114300" simplePos="0" relativeHeight="251670528" behindDoc="0" locked="0" layoutInCell="1" hidden="0" allowOverlap="1" wp14:anchorId="07AE43F3" wp14:editId="43718563">
            <wp:simplePos x="0" y="0"/>
            <wp:positionH relativeFrom="column">
              <wp:posOffset>3811</wp:posOffset>
            </wp:positionH>
            <wp:positionV relativeFrom="paragraph">
              <wp:posOffset>291821</wp:posOffset>
            </wp:positionV>
            <wp:extent cx="5945356" cy="3756214"/>
            <wp:effectExtent l="0" t="0" r="0" b="0"/>
            <wp:wrapSquare wrapText="bothSides" distT="0" distB="0" distL="114300" distR="114300"/>
            <wp:docPr id="36" name="image8.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Chart, line chart&#10;&#10;Description automatically generated"/>
                    <pic:cNvPicPr preferRelativeResize="0"/>
                  </pic:nvPicPr>
                  <pic:blipFill>
                    <a:blip r:embed="rId13"/>
                    <a:srcRect/>
                    <a:stretch>
                      <a:fillRect/>
                    </a:stretch>
                  </pic:blipFill>
                  <pic:spPr>
                    <a:xfrm>
                      <a:off x="0" y="0"/>
                      <a:ext cx="5945356" cy="3756214"/>
                    </a:xfrm>
                    <a:prstGeom prst="rect">
                      <a:avLst/>
                    </a:prstGeom>
                    <a:ln/>
                  </pic:spPr>
                </pic:pic>
              </a:graphicData>
            </a:graphic>
          </wp:anchor>
        </w:drawing>
      </w:r>
    </w:p>
    <w:p w14:paraId="17EC021E" w14:textId="77777777" w:rsidR="00A74507" w:rsidRDefault="00A74507"/>
    <w:p w14:paraId="5419EBEC" w14:textId="77777777" w:rsidR="00A74507" w:rsidRDefault="002E07E3">
      <w:r>
        <w:t>Appendix 6: Federal Fund Rate (2003-2023)</w:t>
      </w:r>
    </w:p>
    <w:p w14:paraId="017CB154" w14:textId="77777777" w:rsidR="00A74507" w:rsidRDefault="002E07E3">
      <w:r>
        <w:rPr>
          <w:noProof/>
        </w:rPr>
        <w:lastRenderedPageBreak/>
        <w:drawing>
          <wp:anchor distT="0" distB="0" distL="114300" distR="114300" simplePos="0" relativeHeight="251671552" behindDoc="0" locked="0" layoutInCell="1" hidden="0" allowOverlap="1" wp14:anchorId="75170512" wp14:editId="0F2A8924">
            <wp:simplePos x="0" y="0"/>
            <wp:positionH relativeFrom="column">
              <wp:posOffset>299136</wp:posOffset>
            </wp:positionH>
            <wp:positionV relativeFrom="paragraph">
              <wp:posOffset>268325</wp:posOffset>
            </wp:positionV>
            <wp:extent cx="5362575" cy="3233420"/>
            <wp:effectExtent l="0" t="0" r="0" b="0"/>
            <wp:wrapSquare wrapText="bothSides" distT="0" distB="0" distL="114300" distR="11430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noProof/>
        </w:rPr>
        <mc:AlternateContent>
          <mc:Choice Requires="wps">
            <w:drawing>
              <wp:anchor distT="0" distB="0" distL="114300" distR="114300" simplePos="0" relativeHeight="251672576" behindDoc="0" locked="0" layoutInCell="1" hidden="0" allowOverlap="1" wp14:anchorId="6DDBD875" wp14:editId="260BEB0E">
                <wp:simplePos x="0" y="0"/>
                <wp:positionH relativeFrom="column">
                  <wp:posOffset>292100</wp:posOffset>
                </wp:positionH>
                <wp:positionV relativeFrom="paragraph">
                  <wp:posOffset>3314700</wp:posOffset>
                </wp:positionV>
                <wp:extent cx="635" cy="12700"/>
                <wp:effectExtent l="0" t="0" r="0" b="0"/>
                <wp:wrapSquare wrapText="bothSides" distT="0" distB="0" distL="114300" distR="114300"/>
                <wp:docPr id="27" name="Rectangle 27"/>
                <wp:cNvGraphicFramePr/>
                <a:graphic xmlns:a="http://schemas.openxmlformats.org/drawingml/2006/main">
                  <a:graphicData uri="http://schemas.microsoft.com/office/word/2010/wordprocessingShape">
                    <wps:wsp>
                      <wps:cNvSpPr/>
                      <wps:spPr>
                        <a:xfrm>
                          <a:off x="2664713" y="3779683"/>
                          <a:ext cx="5362575" cy="635"/>
                        </a:xfrm>
                        <a:prstGeom prst="rect">
                          <a:avLst/>
                        </a:prstGeom>
                        <a:solidFill>
                          <a:srgbClr val="FFFFFF"/>
                        </a:solidFill>
                        <a:ln>
                          <a:noFill/>
                        </a:ln>
                      </wps:spPr>
                      <wps:txbx>
                        <w:txbxContent>
                          <w:p w14:paraId="4F8CA12A" w14:textId="77777777" w:rsidR="00A74507" w:rsidRDefault="002E07E3">
                            <w:pPr>
                              <w:spacing w:after="200" w:line="240" w:lineRule="auto"/>
                              <w:textDirection w:val="btLr"/>
                            </w:pPr>
                            <w:r>
                              <w:rPr>
                                <w:rFonts w:ascii="Arial" w:eastAsia="Arial" w:hAnsi="Arial" w:cs="Arial"/>
                                <w:i/>
                                <w:color w:val="44546A"/>
                                <w:sz w:val="18"/>
                              </w:rPr>
                              <w:t>Source: St. Louis Federa</w:t>
                            </w:r>
                            <w:r>
                              <w:rPr>
                                <w:rFonts w:ascii="Arial" w:eastAsia="Arial" w:hAnsi="Arial" w:cs="Arial"/>
                                <w:i/>
                                <w:color w:val="44546A"/>
                                <w:sz w:val="18"/>
                              </w:rPr>
                              <w:t>l Reserve</w:t>
                            </w:r>
                          </w:p>
                        </w:txbxContent>
                      </wps:txbx>
                      <wps:bodyPr spcFirstLastPara="1" wrap="square" lIns="0" tIns="0" rIns="0" bIns="0" anchor="t" anchorCtr="0">
                        <a:noAutofit/>
                      </wps:bodyPr>
                    </wps:wsp>
                  </a:graphicData>
                </a:graphic>
              </wp:anchor>
            </w:drawing>
          </mc:Choice>
          <mc:Fallback>
            <w:pict>
              <v:rect w14:anchorId="6DDBD875" id="Rectangle 27" o:spid="_x0000_s1031" style="position:absolute;margin-left:23pt;margin-top:261pt;width:.05pt;height: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" stroked="f">
                <v:textbox inset="0,0,0,0">
                  <w:txbxContent>
                    <w:p w14:paraId="4F8CA12A" w14:textId="77777777" w:rsidR="00A74507" w:rsidRDefault="002E07E3">
                      <w:pPr>
                        <w:spacing w:after="200" w:line="240" w:lineRule="auto"/>
                        <w:textDirection w:val="btLr"/>
                      </w:pPr>
                      <w:r>
                        <w:rPr>
                          <w:rFonts w:ascii="Arial" w:eastAsia="Arial" w:hAnsi="Arial" w:cs="Arial"/>
                          <w:i/>
                          <w:color w:val="44546A"/>
                          <w:sz w:val="18"/>
                        </w:rPr>
                        <w:t>Source: St. Louis Federa</w:t>
                      </w:r>
                      <w:r>
                        <w:rPr>
                          <w:rFonts w:ascii="Arial" w:eastAsia="Arial" w:hAnsi="Arial" w:cs="Arial"/>
                          <w:i/>
                          <w:color w:val="44546A"/>
                          <w:sz w:val="18"/>
                        </w:rPr>
                        <w:t>l Reserve</w:t>
                      </w:r>
                    </w:p>
                  </w:txbxContent>
                </v:textbox>
                <w10:wrap type="square"/>
              </v:rect>
            </w:pict>
          </mc:Fallback>
        </mc:AlternateContent>
      </w:r>
    </w:p>
    <w:p w14:paraId="27AB88E8" w14:textId="77777777" w:rsidR="00A74507" w:rsidRDefault="002E07E3">
      <w:r>
        <w:t>Appendix 7: CPI-W (2003-2023)</w:t>
      </w:r>
    </w:p>
    <w:p w14:paraId="7AAFF842" w14:textId="77777777" w:rsidR="00A74507" w:rsidRDefault="002E07E3">
      <w:r>
        <w:rPr>
          <w:noProof/>
        </w:rPr>
        <w:drawing>
          <wp:inline distT="0" distB="0" distL="0" distR="0" wp14:anchorId="324536F4" wp14:editId="2459F154">
            <wp:extent cx="5943600" cy="3028315"/>
            <wp:effectExtent l="0" t="0" r="0" b="0"/>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943600" cy="3028315"/>
                    </a:xfrm>
                    <a:prstGeom prst="rect">
                      <a:avLst/>
                    </a:prstGeom>
                    <a:ln/>
                  </pic:spPr>
                </pic:pic>
              </a:graphicData>
            </a:graphic>
          </wp:inline>
        </w:drawing>
      </w:r>
      <w:r>
        <w:rPr>
          <w:noProof/>
        </w:rPr>
        <mc:AlternateContent>
          <mc:Choice Requires="wps">
            <w:drawing>
              <wp:anchor distT="0" distB="0" distL="114300" distR="114300" simplePos="0" relativeHeight="251673600" behindDoc="0" locked="0" layoutInCell="1" hidden="0" allowOverlap="1" wp14:anchorId="298BF052" wp14:editId="788F343B">
                <wp:simplePos x="0" y="0"/>
                <wp:positionH relativeFrom="column">
                  <wp:posOffset>12701</wp:posOffset>
                </wp:positionH>
                <wp:positionV relativeFrom="paragraph">
                  <wp:posOffset>3048000</wp:posOffset>
                </wp:positionV>
                <wp:extent cx="635" cy="12700"/>
                <wp:effectExtent l="0" t="0" r="0" b="0"/>
                <wp:wrapSquare wrapText="bothSides" distT="0" distB="0" distL="114300" distR="114300"/>
                <wp:docPr id="29" name="Rectangle 29"/>
                <wp:cNvGraphicFramePr/>
                <a:graphic xmlns:a="http://schemas.openxmlformats.org/drawingml/2006/main">
                  <a:graphicData uri="http://schemas.microsoft.com/office/word/2010/wordprocessingShape">
                    <wps:wsp>
                      <wps:cNvSpPr/>
                      <wps:spPr>
                        <a:xfrm>
                          <a:off x="2664713" y="3779683"/>
                          <a:ext cx="5362575" cy="635"/>
                        </a:xfrm>
                        <a:prstGeom prst="rect">
                          <a:avLst/>
                        </a:prstGeom>
                        <a:solidFill>
                          <a:srgbClr val="FFFFFF"/>
                        </a:solidFill>
                        <a:ln>
                          <a:noFill/>
                        </a:ln>
                      </wps:spPr>
                      <wps:txbx>
                        <w:txbxContent>
                          <w:p w14:paraId="32B00964" w14:textId="77777777" w:rsidR="00A74507" w:rsidRDefault="002E07E3">
                            <w:pPr>
                              <w:spacing w:after="200" w:line="240" w:lineRule="auto"/>
                              <w:textDirection w:val="btLr"/>
                            </w:pPr>
                            <w:r>
                              <w:rPr>
                                <w:rFonts w:ascii="Arial" w:eastAsia="Arial" w:hAnsi="Arial" w:cs="Arial"/>
                                <w:i/>
                                <w:color w:val="44546A"/>
                                <w:sz w:val="18"/>
                              </w:rPr>
                              <w:t>Source: St. Louis Federal Reserve</w:t>
                            </w:r>
                          </w:p>
                        </w:txbxContent>
                      </wps:txbx>
                      <wps:bodyPr spcFirstLastPara="1" wrap="square" lIns="0" tIns="0" rIns="0" bIns="0" anchor="t" anchorCtr="0">
                        <a:noAutofit/>
                      </wps:bodyPr>
                    </wps:wsp>
                  </a:graphicData>
                </a:graphic>
              </wp:anchor>
            </w:drawing>
          </mc:Choice>
          <mc:Fallback>
            <w:pict>
              <v:rect w14:anchorId="298BF052" id="Rectangle 29" o:spid="_x0000_s1032" style="position:absolute;margin-left:1pt;margin-top:240pt;width:.05pt;height: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" stroked="f">
                <v:textbox inset="0,0,0,0">
                  <w:txbxContent>
                    <w:p w14:paraId="32B00964" w14:textId="77777777" w:rsidR="00A74507" w:rsidRDefault="002E07E3">
                      <w:pPr>
                        <w:spacing w:after="200" w:line="240" w:lineRule="auto"/>
                        <w:textDirection w:val="btLr"/>
                      </w:pPr>
                      <w:r>
                        <w:rPr>
                          <w:rFonts w:ascii="Arial" w:eastAsia="Arial" w:hAnsi="Arial" w:cs="Arial"/>
                          <w:i/>
                          <w:color w:val="44546A"/>
                          <w:sz w:val="18"/>
                        </w:rPr>
                        <w:t>Source: St. Louis Federal Reserve</w:t>
                      </w:r>
                    </w:p>
                  </w:txbxContent>
                </v:textbox>
                <w10:wrap type="square"/>
              </v:rect>
            </w:pict>
          </mc:Fallback>
        </mc:AlternateContent>
      </w:r>
    </w:p>
    <w:p w14:paraId="4BD3E85C" w14:textId="77777777" w:rsidR="00A74507" w:rsidRDefault="00A74507"/>
    <w:p w14:paraId="1B85F4B4" w14:textId="77777777" w:rsidR="00A74507" w:rsidRDefault="00A74507"/>
    <w:p w14:paraId="7D096AB7" w14:textId="77777777" w:rsidR="00A74507" w:rsidRDefault="002E07E3">
      <w:r>
        <w:t>Appendix 8:  Change in Number of People in Poverty</w:t>
      </w:r>
    </w:p>
    <w:p w14:paraId="6D4FD9B3" w14:textId="77777777" w:rsidR="00A74507" w:rsidRDefault="00A74507"/>
    <w:p w14:paraId="2B5FA589" w14:textId="77777777" w:rsidR="00A74507" w:rsidRDefault="00A74507"/>
    <w:p w14:paraId="0F5E35D7" w14:textId="77777777" w:rsidR="00A74507" w:rsidRDefault="00A74507"/>
    <w:p w14:paraId="2C442E02" w14:textId="77777777" w:rsidR="00A74507" w:rsidRDefault="00A74507"/>
    <w:p w14:paraId="4EA5BF58" w14:textId="77777777" w:rsidR="00A74507" w:rsidRDefault="00A74507"/>
    <w:p w14:paraId="47AA6AC9" w14:textId="77777777" w:rsidR="00A74507" w:rsidRDefault="00A74507"/>
    <w:p w14:paraId="6FCF765C" w14:textId="77777777" w:rsidR="00A74507" w:rsidRDefault="002E07E3">
      <w:r>
        <w:rPr>
          <w:noProof/>
        </w:rPr>
        <w:drawing>
          <wp:anchor distT="0" distB="0" distL="114300" distR="114300" simplePos="0" relativeHeight="251674624" behindDoc="0" locked="0" layoutInCell="1" hidden="0" allowOverlap="1" wp14:anchorId="28D3AF59" wp14:editId="5BFAC32B">
            <wp:simplePos x="0" y="0"/>
            <wp:positionH relativeFrom="column">
              <wp:posOffset>-280987</wp:posOffset>
            </wp:positionH>
            <wp:positionV relativeFrom="paragraph">
              <wp:posOffset>92875</wp:posOffset>
            </wp:positionV>
            <wp:extent cx="5939790" cy="5069205"/>
            <wp:effectExtent l="0" t="0" r="0" b="0"/>
            <wp:wrapSquare wrapText="bothSides" distT="0" distB="0" distL="114300" distR="114300"/>
            <wp:docPr id="34" name="image9.png" descr="Graphical user interface, application, Wo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Graphical user interface, application, Word&#10;&#10;Description automatically generated"/>
                    <pic:cNvPicPr preferRelativeResize="0"/>
                  </pic:nvPicPr>
                  <pic:blipFill>
                    <a:blip r:embed="rId16"/>
                    <a:srcRect/>
                    <a:stretch>
                      <a:fillRect/>
                    </a:stretch>
                  </pic:blipFill>
                  <pic:spPr>
                    <a:xfrm>
                      <a:off x="0" y="0"/>
                      <a:ext cx="5939790" cy="5069205"/>
                    </a:xfrm>
                    <a:prstGeom prst="rect">
                      <a:avLst/>
                    </a:prstGeom>
                    <a:ln/>
                  </pic:spPr>
                </pic:pic>
              </a:graphicData>
            </a:graphic>
          </wp:anchor>
        </w:drawing>
      </w:r>
    </w:p>
    <w:p w14:paraId="04FCA35B" w14:textId="77777777" w:rsidR="00A74507" w:rsidRDefault="00A74507"/>
    <w:p w14:paraId="6B139E51" w14:textId="77777777" w:rsidR="00A74507" w:rsidRDefault="00A74507"/>
    <w:p w14:paraId="6AAD7578" w14:textId="77777777" w:rsidR="00A74507" w:rsidRDefault="00A74507"/>
    <w:p w14:paraId="1B807A1A" w14:textId="77777777" w:rsidR="00A74507" w:rsidRDefault="002E07E3">
      <w:r>
        <w:lastRenderedPageBreak/>
        <w:t xml:space="preserve">Appendix 9: Poverty Thresholds </w:t>
      </w:r>
      <w:r>
        <w:rPr>
          <w:noProof/>
        </w:rPr>
        <w:drawing>
          <wp:inline distT="0" distB="0" distL="0" distR="0" wp14:anchorId="3E1E40A8" wp14:editId="29A3466C">
            <wp:extent cx="5939790" cy="2450465"/>
            <wp:effectExtent l="0" t="0" r="0" b="0"/>
            <wp:docPr id="37" name="image10.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Table&#10;&#10;Description automatically generated"/>
                    <pic:cNvPicPr preferRelativeResize="0"/>
                  </pic:nvPicPr>
                  <pic:blipFill>
                    <a:blip r:embed="rId17"/>
                    <a:srcRect/>
                    <a:stretch>
                      <a:fillRect/>
                    </a:stretch>
                  </pic:blipFill>
                  <pic:spPr>
                    <a:xfrm>
                      <a:off x="0" y="0"/>
                      <a:ext cx="5939790" cy="2450465"/>
                    </a:xfrm>
                    <a:prstGeom prst="rect">
                      <a:avLst/>
                    </a:prstGeom>
                    <a:ln/>
                  </pic:spPr>
                </pic:pic>
              </a:graphicData>
            </a:graphic>
          </wp:inline>
        </w:drawing>
      </w:r>
    </w:p>
    <w:p w14:paraId="2AD8F470" w14:textId="77777777" w:rsidR="00A74507" w:rsidRDefault="00A74507"/>
    <w:p w14:paraId="602640FB" w14:textId="77777777" w:rsidR="00A74507" w:rsidRDefault="00A74507"/>
    <w:p w14:paraId="3697C449" w14:textId="77777777" w:rsidR="00A74507" w:rsidRDefault="002E07E3">
      <w:r>
        <w:t>Appendix 10: Savings for Retirement for Current Workers</w:t>
      </w:r>
      <w:r>
        <w:rPr>
          <w:noProof/>
        </w:rPr>
        <w:drawing>
          <wp:inline distT="0" distB="0" distL="0" distR="0" wp14:anchorId="77D16B75" wp14:editId="3814599F">
            <wp:extent cx="5939790" cy="4374515"/>
            <wp:effectExtent l="0" t="0" r="0" b="0"/>
            <wp:docPr id="39" name="image3.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Chart&#10;&#10;Description automatically generated"/>
                    <pic:cNvPicPr preferRelativeResize="0"/>
                  </pic:nvPicPr>
                  <pic:blipFill>
                    <a:blip r:embed="rId18"/>
                    <a:srcRect/>
                    <a:stretch>
                      <a:fillRect/>
                    </a:stretch>
                  </pic:blipFill>
                  <pic:spPr>
                    <a:xfrm>
                      <a:off x="0" y="0"/>
                      <a:ext cx="5939790" cy="4374515"/>
                    </a:xfrm>
                    <a:prstGeom prst="rect">
                      <a:avLst/>
                    </a:prstGeom>
                    <a:ln/>
                  </pic:spPr>
                </pic:pic>
              </a:graphicData>
            </a:graphic>
          </wp:inline>
        </w:drawing>
      </w:r>
    </w:p>
    <w:p w14:paraId="7751FBF5" w14:textId="77777777" w:rsidR="00A74507" w:rsidRDefault="00A74507"/>
    <w:p w14:paraId="1F3BE53C" w14:textId="77777777" w:rsidR="00A74507" w:rsidRDefault="002E07E3">
      <w:pPr>
        <w:rPr>
          <w:b/>
        </w:rPr>
      </w:pPr>
      <w:r>
        <w:rPr>
          <w:b/>
        </w:rPr>
        <w:lastRenderedPageBreak/>
        <w:t>Bibliography:</w:t>
      </w:r>
    </w:p>
    <w:p w14:paraId="57D5F2C1" w14:textId="77777777" w:rsidR="00A74507" w:rsidRDefault="00A74507"/>
    <w:p w14:paraId="45CECCA6" w14:textId="77777777" w:rsidR="00A74507" w:rsidRDefault="002E07E3">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Historical Background And Development Of Social Security</w:t>
      </w:r>
      <w:r>
        <w:rPr>
          <w:rFonts w:ascii="Times New Roman" w:eastAsia="Times New Roman" w:hAnsi="Times New Roman" w:cs="Times New Roman"/>
          <w:color w:val="000000"/>
          <w:sz w:val="24"/>
          <w:szCs w:val="24"/>
        </w:rPr>
        <w:t xml:space="preserve">. Social Security History. (n.d.). Retrieved March 31, 2023, from https://www.ssa.gov/history/briefhistory3.html </w:t>
      </w:r>
    </w:p>
    <w:p w14:paraId="298DE3C8" w14:textId="77777777" w:rsidR="00A74507" w:rsidRDefault="002E07E3">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2022 OASDI Trustees Report. (n.d.). Retrieved March 31, 2023, from https://www.ssa.gov/OACT/tr/2022/#:~:text=The%202022%20OASDI%20Trustees%20Report%2C%20officially%20called%20%22The%202022%20Annual,status%20of%20the%20trust%20funds. </w:t>
      </w:r>
    </w:p>
    <w:p w14:paraId="43684393" w14:textId="77777777" w:rsidR="00A74507" w:rsidRDefault="002E07E3">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Consumer price ind</w:t>
      </w:r>
      <w:r>
        <w:rPr>
          <w:rFonts w:ascii="Times New Roman" w:eastAsia="Times New Roman" w:hAnsi="Times New Roman" w:cs="Times New Roman"/>
          <w:i/>
          <w:color w:val="000000"/>
          <w:sz w:val="24"/>
          <w:szCs w:val="24"/>
        </w:rPr>
        <w:t>ex for all urban consumers: All items in U.S. city average</w:t>
      </w:r>
      <w:r>
        <w:rPr>
          <w:rFonts w:ascii="Times New Roman" w:eastAsia="Times New Roman" w:hAnsi="Times New Roman" w:cs="Times New Roman"/>
          <w:color w:val="000000"/>
          <w:sz w:val="24"/>
          <w:szCs w:val="24"/>
        </w:rPr>
        <w:t xml:space="preserve">. FRED. (2023, March 14). Retrieved March 31, 2023, from https://fred.stlouisfed.org/series/CPIAUCSL </w:t>
      </w:r>
    </w:p>
    <w:p w14:paraId="11F54907" w14:textId="77777777" w:rsidR="00A74507" w:rsidRDefault="002E07E3">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Fertility Rate, total for the United States</w:t>
      </w:r>
      <w:r>
        <w:rPr>
          <w:rFonts w:ascii="Times New Roman" w:eastAsia="Times New Roman" w:hAnsi="Times New Roman" w:cs="Times New Roman"/>
          <w:color w:val="000000"/>
          <w:sz w:val="24"/>
          <w:szCs w:val="24"/>
        </w:rPr>
        <w:t>. FRED. (2022, May 3). Retrieved March 30, 2023, from</w:t>
      </w:r>
      <w:r>
        <w:rPr>
          <w:rFonts w:ascii="Times New Roman" w:eastAsia="Times New Roman" w:hAnsi="Times New Roman" w:cs="Times New Roman"/>
          <w:color w:val="000000"/>
          <w:sz w:val="24"/>
          <w:szCs w:val="24"/>
        </w:rPr>
        <w:t xml:space="preserve"> https://fred.stlouisfed.org/series/SPDYNTFRTINUSA </w:t>
      </w:r>
    </w:p>
    <w:p w14:paraId="09FF573B" w14:textId="77777777" w:rsidR="00A74507" w:rsidRDefault="002E07E3">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Status of the Social Security and Medicare programs</w:t>
      </w:r>
      <w:r>
        <w:rPr>
          <w:rFonts w:ascii="Times New Roman" w:eastAsia="Times New Roman" w:hAnsi="Times New Roman" w:cs="Times New Roman"/>
          <w:color w:val="000000"/>
          <w:sz w:val="24"/>
          <w:szCs w:val="24"/>
        </w:rPr>
        <w:t xml:space="preserve">. (n.d.). Retrieved March 31, 2023, from https://www.ssa.gov/oact/TRSUM/tr22summary.pdf </w:t>
      </w:r>
    </w:p>
    <w:p w14:paraId="23C22310" w14:textId="77777777" w:rsidR="00A74507" w:rsidRDefault="002E07E3">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Report on the economic well-being of U.S. households in 2021 - M</w:t>
      </w:r>
      <w:r>
        <w:rPr>
          <w:rFonts w:ascii="Times New Roman" w:eastAsia="Times New Roman" w:hAnsi="Times New Roman" w:cs="Times New Roman"/>
          <w:i/>
          <w:color w:val="000000"/>
          <w:sz w:val="24"/>
          <w:szCs w:val="24"/>
        </w:rPr>
        <w:t>ay 2022</w:t>
      </w:r>
      <w:r>
        <w:rPr>
          <w:rFonts w:ascii="Times New Roman" w:eastAsia="Times New Roman" w:hAnsi="Times New Roman" w:cs="Times New Roman"/>
          <w:color w:val="000000"/>
          <w:sz w:val="24"/>
          <w:szCs w:val="24"/>
        </w:rPr>
        <w:t xml:space="preserve">. Board of Governors of the Federal Reserve System. (n.d.). Retrieved March 31, 2023, from https://www.federalreserve.gov/publications/2022-economic-well-being-of-us-households-in-2021-executive-summary.htm </w:t>
      </w:r>
    </w:p>
    <w:p w14:paraId="69C7F23B" w14:textId="77777777" w:rsidR="00A74507" w:rsidRDefault="002E07E3">
      <w:pPr>
        <w:shd w:val="clear" w:color="auto" w:fill="FFFFFF"/>
        <w:spacing w:before="280" w:after="280" w:line="240" w:lineRule="auto"/>
        <w:rPr>
          <w:color w:val="000000"/>
          <w:sz w:val="24"/>
          <w:szCs w:val="24"/>
        </w:rPr>
      </w:pPr>
      <w:r>
        <w:rPr>
          <w:color w:val="000000"/>
          <w:sz w:val="24"/>
          <w:szCs w:val="24"/>
        </w:rPr>
        <w:t xml:space="preserve">Dushi, Irena and Brad Trenkamp, 2021. </w:t>
      </w:r>
      <w:r>
        <w:rPr>
          <w:i/>
          <w:color w:val="000000"/>
          <w:sz w:val="24"/>
          <w:szCs w:val="24"/>
        </w:rPr>
        <w:t>“Im</w:t>
      </w:r>
      <w:r>
        <w:rPr>
          <w:i/>
          <w:color w:val="000000"/>
          <w:sz w:val="24"/>
          <w:szCs w:val="24"/>
        </w:rPr>
        <w:t xml:space="preserve">proving the Measurement of Retirement Income in        </w:t>
      </w:r>
      <w:r>
        <w:rPr>
          <w:i/>
          <w:color w:val="000000"/>
          <w:sz w:val="24"/>
          <w:szCs w:val="24"/>
        </w:rPr>
        <w:tab/>
        <w:t>the Aged Population”.</w:t>
      </w:r>
      <w:r>
        <w:rPr>
          <w:color w:val="000000"/>
          <w:sz w:val="24"/>
          <w:szCs w:val="24"/>
        </w:rPr>
        <w:t xml:space="preserve"> Washington, DC: Social Security Administration, Office of             Research, Evaluation, and Statistics. ORES Working Paper No.      116. </w:t>
      </w:r>
      <w:hyperlink r:id="rId19">
        <w:r>
          <w:rPr>
            <w:color w:val="0000FF"/>
            <w:sz w:val="24"/>
            <w:szCs w:val="24"/>
            <w:u w:val="single"/>
          </w:rPr>
          <w:t>https://www.ssa.gov/policy/docs/workingpapers/wp116.html</w:t>
        </w:r>
      </w:hyperlink>
    </w:p>
    <w:p w14:paraId="36A49DF9" w14:textId="77777777" w:rsidR="00A74507" w:rsidRDefault="002E07E3">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Retirement confidence survey</w:t>
      </w:r>
      <w:r>
        <w:rPr>
          <w:rFonts w:ascii="Times New Roman" w:eastAsia="Times New Roman" w:hAnsi="Times New Roman" w:cs="Times New Roman"/>
          <w:color w:val="000000"/>
          <w:sz w:val="24"/>
          <w:szCs w:val="24"/>
        </w:rPr>
        <w:t xml:space="preserve">. EBRI. (n.d.). Retrieved March 31, 2023, from https://www.ebri.org/retirement/retirement-confidence-survey </w:t>
      </w:r>
    </w:p>
    <w:p w14:paraId="644D1972" w14:textId="77777777" w:rsidR="00A74507" w:rsidRDefault="002E07E3">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 Security History</w:t>
      </w:r>
      <w:r>
        <w:rPr>
          <w:rFonts w:ascii="Times New Roman" w:eastAsia="Times New Roman" w:hAnsi="Times New Roman" w:cs="Times New Roman"/>
          <w:color w:val="000000"/>
          <w:sz w:val="24"/>
          <w:szCs w:val="24"/>
        </w:rPr>
        <w:t xml:space="preserve">. (n.d.). Retrieved March 31, 2023, from https://www.ssa.gov/history/reports/crsleghist2.html </w:t>
      </w:r>
    </w:p>
    <w:p w14:paraId="7CD608E5" w14:textId="77777777" w:rsidR="00A74507" w:rsidRDefault="002E07E3">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Creamer, J. (2022, September 13). </w:t>
      </w:r>
      <w:r>
        <w:rPr>
          <w:rFonts w:ascii="Times New Roman" w:eastAsia="Times New Roman" w:hAnsi="Times New Roman" w:cs="Times New Roman"/>
          <w:i/>
          <w:color w:val="000000"/>
          <w:sz w:val="24"/>
          <w:szCs w:val="24"/>
        </w:rPr>
        <w:t>Poverty in the United States: 2021</w:t>
      </w:r>
      <w:r>
        <w:rPr>
          <w:rFonts w:ascii="Times New Roman" w:eastAsia="Times New Roman" w:hAnsi="Times New Roman" w:cs="Times New Roman"/>
          <w:color w:val="000000"/>
          <w:sz w:val="24"/>
          <w:szCs w:val="24"/>
        </w:rPr>
        <w:t>. Census.gov. Retrieved March 31, 2023, from https://www.census.gov/library/publications/2022</w:t>
      </w:r>
      <w:r>
        <w:rPr>
          <w:rFonts w:ascii="Times New Roman" w:eastAsia="Times New Roman" w:hAnsi="Times New Roman" w:cs="Times New Roman"/>
          <w:color w:val="000000"/>
          <w:sz w:val="24"/>
          <w:szCs w:val="24"/>
        </w:rPr>
        <w:t xml:space="preserve">/demo/p60-277.html </w:t>
      </w:r>
    </w:p>
    <w:p w14:paraId="3A203B45" w14:textId="77777777" w:rsidR="00A74507" w:rsidRDefault="002E07E3">
      <w:pPr>
        <w:ind w:firstLine="720"/>
        <w:rPr>
          <w:sz w:val="24"/>
          <w:szCs w:val="24"/>
        </w:rPr>
      </w:pPr>
      <w:r>
        <w:rPr>
          <w:sz w:val="24"/>
          <w:szCs w:val="24"/>
        </w:rPr>
        <w:t xml:space="preserve"> </w:t>
      </w:r>
    </w:p>
    <w:p w14:paraId="018E8622" w14:textId="77777777" w:rsidR="00A74507" w:rsidRDefault="00A74507">
      <w:pPr>
        <w:pBdr>
          <w:top w:val="nil"/>
          <w:left w:val="nil"/>
          <w:bottom w:val="nil"/>
          <w:right w:val="nil"/>
          <w:between w:val="nil"/>
        </w:pBdr>
        <w:ind w:left="360"/>
        <w:rPr>
          <w:color w:val="000000"/>
        </w:rPr>
      </w:pPr>
    </w:p>
    <w:sectPr w:rsidR="00A745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slo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D3162"/>
    <w:multiLevelType w:val="multilevel"/>
    <w:tmpl w:val="5E0EA618"/>
    <w:lvl w:ilvl="0">
      <w:start w:val="1"/>
      <w:numFmt w:val="bullet"/>
      <w:lvlText w:val="●"/>
      <w:lvlJc w:val="left"/>
      <w:pPr>
        <w:ind w:left="1446" w:hanging="360"/>
      </w:pPr>
      <w:rPr>
        <w:rFonts w:ascii="Noto Sans Symbols" w:eastAsia="Noto Sans Symbols" w:hAnsi="Noto Sans Symbols" w:cs="Noto Sans Symbols"/>
      </w:rPr>
    </w:lvl>
    <w:lvl w:ilvl="1">
      <w:start w:val="1"/>
      <w:numFmt w:val="bullet"/>
      <w:lvlText w:val="o"/>
      <w:lvlJc w:val="left"/>
      <w:pPr>
        <w:ind w:left="2166" w:hanging="360"/>
      </w:pPr>
      <w:rPr>
        <w:rFonts w:ascii="Courier New" w:eastAsia="Courier New" w:hAnsi="Courier New" w:cs="Courier New"/>
      </w:rPr>
    </w:lvl>
    <w:lvl w:ilvl="2">
      <w:start w:val="1"/>
      <w:numFmt w:val="bullet"/>
      <w:lvlText w:val="▪"/>
      <w:lvlJc w:val="left"/>
      <w:pPr>
        <w:ind w:left="2886" w:hanging="360"/>
      </w:pPr>
      <w:rPr>
        <w:rFonts w:ascii="Noto Sans Symbols" w:eastAsia="Noto Sans Symbols" w:hAnsi="Noto Sans Symbols" w:cs="Noto Sans Symbols"/>
      </w:rPr>
    </w:lvl>
    <w:lvl w:ilvl="3">
      <w:start w:val="1"/>
      <w:numFmt w:val="bullet"/>
      <w:lvlText w:val="●"/>
      <w:lvlJc w:val="left"/>
      <w:pPr>
        <w:ind w:left="3606" w:hanging="360"/>
      </w:pPr>
      <w:rPr>
        <w:rFonts w:ascii="Noto Sans Symbols" w:eastAsia="Noto Sans Symbols" w:hAnsi="Noto Sans Symbols" w:cs="Noto Sans Symbols"/>
      </w:rPr>
    </w:lvl>
    <w:lvl w:ilvl="4">
      <w:start w:val="1"/>
      <w:numFmt w:val="bullet"/>
      <w:lvlText w:val="o"/>
      <w:lvlJc w:val="left"/>
      <w:pPr>
        <w:ind w:left="4326" w:hanging="360"/>
      </w:pPr>
      <w:rPr>
        <w:rFonts w:ascii="Courier New" w:eastAsia="Courier New" w:hAnsi="Courier New" w:cs="Courier New"/>
      </w:rPr>
    </w:lvl>
    <w:lvl w:ilvl="5">
      <w:start w:val="1"/>
      <w:numFmt w:val="bullet"/>
      <w:lvlText w:val="▪"/>
      <w:lvlJc w:val="left"/>
      <w:pPr>
        <w:ind w:left="5046" w:hanging="360"/>
      </w:pPr>
      <w:rPr>
        <w:rFonts w:ascii="Noto Sans Symbols" w:eastAsia="Noto Sans Symbols" w:hAnsi="Noto Sans Symbols" w:cs="Noto Sans Symbols"/>
      </w:rPr>
    </w:lvl>
    <w:lvl w:ilvl="6">
      <w:start w:val="1"/>
      <w:numFmt w:val="bullet"/>
      <w:lvlText w:val="●"/>
      <w:lvlJc w:val="left"/>
      <w:pPr>
        <w:ind w:left="5766" w:hanging="360"/>
      </w:pPr>
      <w:rPr>
        <w:rFonts w:ascii="Noto Sans Symbols" w:eastAsia="Noto Sans Symbols" w:hAnsi="Noto Sans Symbols" w:cs="Noto Sans Symbols"/>
      </w:rPr>
    </w:lvl>
    <w:lvl w:ilvl="7">
      <w:start w:val="1"/>
      <w:numFmt w:val="bullet"/>
      <w:lvlText w:val="o"/>
      <w:lvlJc w:val="left"/>
      <w:pPr>
        <w:ind w:left="6486" w:hanging="360"/>
      </w:pPr>
      <w:rPr>
        <w:rFonts w:ascii="Courier New" w:eastAsia="Courier New" w:hAnsi="Courier New" w:cs="Courier New"/>
      </w:rPr>
    </w:lvl>
    <w:lvl w:ilvl="8">
      <w:start w:val="1"/>
      <w:numFmt w:val="bullet"/>
      <w:lvlText w:val="▪"/>
      <w:lvlJc w:val="left"/>
      <w:pPr>
        <w:ind w:left="7206" w:hanging="360"/>
      </w:pPr>
      <w:rPr>
        <w:rFonts w:ascii="Noto Sans Symbols" w:eastAsia="Noto Sans Symbols" w:hAnsi="Noto Sans Symbols" w:cs="Noto Sans Symbols"/>
      </w:rPr>
    </w:lvl>
  </w:abstractNum>
  <w:abstractNum w:abstractNumId="1" w15:restartNumberingAfterBreak="0">
    <w:nsid w:val="34C6525B"/>
    <w:multiLevelType w:val="multilevel"/>
    <w:tmpl w:val="76D2DA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3AC712F2"/>
    <w:multiLevelType w:val="multilevel"/>
    <w:tmpl w:val="01F6B2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507"/>
    <w:rsid w:val="002E07E3"/>
    <w:rsid w:val="00A74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A0C8"/>
  <w15:docId w15:val="{9DCDA7B3-CCB3-447A-A171-C8A7B8B8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525A7"/>
    <w:rPr>
      <w:color w:val="0563C1" w:themeColor="hyperlink"/>
      <w:u w:val="single"/>
    </w:rPr>
  </w:style>
  <w:style w:type="character" w:styleId="UnresolvedMention">
    <w:name w:val="Unresolved Mention"/>
    <w:basedOn w:val="DefaultParagraphFont"/>
    <w:uiPriority w:val="99"/>
    <w:semiHidden/>
    <w:unhideWhenUsed/>
    <w:rsid w:val="006525A7"/>
    <w:rPr>
      <w:color w:val="605E5C"/>
      <w:shd w:val="clear" w:color="auto" w:fill="E1DFDD"/>
    </w:rPr>
  </w:style>
  <w:style w:type="paragraph" w:styleId="NormalWeb">
    <w:name w:val="Normal (Web)"/>
    <w:basedOn w:val="Normal"/>
    <w:uiPriority w:val="99"/>
    <w:unhideWhenUsed/>
    <w:rsid w:val="00915F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350AE"/>
    <w:pPr>
      <w:autoSpaceDE w:val="0"/>
      <w:autoSpaceDN w:val="0"/>
      <w:adjustRightInd w:val="0"/>
      <w:spacing w:after="0" w:line="240" w:lineRule="auto"/>
    </w:pPr>
    <w:rPr>
      <w:rFonts w:ascii="ACaslon Bold" w:hAnsi="ACaslon Bold" w:cs="ACaslon Bold"/>
      <w:color w:val="000000"/>
      <w:sz w:val="24"/>
      <w:szCs w:val="24"/>
    </w:rPr>
  </w:style>
  <w:style w:type="character" w:customStyle="1" w:styleId="A0">
    <w:name w:val="A0"/>
    <w:uiPriority w:val="99"/>
    <w:rsid w:val="009350AE"/>
    <w:rPr>
      <w:rFonts w:cs="ACaslon Bold"/>
      <w:color w:val="211D1E"/>
      <w:sz w:val="20"/>
      <w:szCs w:val="20"/>
    </w:rPr>
  </w:style>
  <w:style w:type="paragraph" w:styleId="ListParagraph">
    <w:name w:val="List Paragraph"/>
    <w:basedOn w:val="Normal"/>
    <w:uiPriority w:val="34"/>
    <w:qFormat/>
    <w:rsid w:val="000E4D7A"/>
    <w:pPr>
      <w:ind w:left="720"/>
      <w:contextualSpacing/>
    </w:pPr>
  </w:style>
  <w:style w:type="paragraph" w:styleId="Caption">
    <w:name w:val="caption"/>
    <w:basedOn w:val="Normal"/>
    <w:next w:val="Normal"/>
    <w:uiPriority w:val="35"/>
    <w:unhideWhenUsed/>
    <w:qFormat/>
    <w:rsid w:val="008B2C82"/>
    <w:pPr>
      <w:spacing w:after="200" w:line="240" w:lineRule="auto"/>
    </w:pPr>
    <w:rPr>
      <w:i/>
      <w:iCs/>
      <w:color w:val="44546A" w:themeColor="text2"/>
      <w:sz w:val="18"/>
      <w:szCs w:val="18"/>
    </w:rPr>
  </w:style>
  <w:style w:type="character" w:customStyle="1" w:styleId="apple-converted-space">
    <w:name w:val="apple-converted-space"/>
    <w:basedOn w:val="DefaultParagraphFont"/>
    <w:rsid w:val="005957D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chart" Target="charts/chart2.xm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hyperlink" Target="https://www.ssa.gov/policy/docs/workingpapers/wp116.html"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davi\Desktop\Thesis\DATA\Life%20Expectancy.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davi\Desktop\Thesis\DATA\Fertility%20Rate.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davi\Desktop\Thesis\DATA\FEDFUNDS%20Interest%20Rate%20(st.%20louis%20fe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Life Expectancy in 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rgbClr val="D8A43C"/>
              </a:solidFill>
              <a:round/>
            </a:ln>
            <a:effectLst/>
          </c:spPr>
          <c:marker>
            <c:symbol val="none"/>
          </c:marker>
          <c:cat>
            <c:numRef>
              <c:f>'Life Expectancy'!$E$12:$E$72</c:f>
              <c:numCache>
                <c:formatCode>General</c:formatCode>
                <c:ptCount val="6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pt idx="59">
                  <c:v>2019</c:v>
                </c:pt>
                <c:pt idx="60">
                  <c:v>2020</c:v>
                </c:pt>
              </c:numCache>
            </c:numRef>
          </c:cat>
          <c:val>
            <c:numRef>
              <c:f>'Life Expectancy'!$F$12:$F$72</c:f>
              <c:numCache>
                <c:formatCode>General</c:formatCode>
                <c:ptCount val="61"/>
                <c:pt idx="0">
                  <c:v>69.770731707317097</c:v>
                </c:pt>
                <c:pt idx="1">
                  <c:v>70.270731707317097</c:v>
                </c:pt>
                <c:pt idx="2">
                  <c:v>70.119512195121999</c:v>
                </c:pt>
                <c:pt idx="3">
                  <c:v>69.917073170731697</c:v>
                </c:pt>
                <c:pt idx="4">
                  <c:v>70.165853658536605</c:v>
                </c:pt>
                <c:pt idx="5">
                  <c:v>70.214634146341496</c:v>
                </c:pt>
                <c:pt idx="6">
                  <c:v>70.212195121951197</c:v>
                </c:pt>
                <c:pt idx="7">
                  <c:v>70.560975609756099</c:v>
                </c:pt>
                <c:pt idx="8">
                  <c:v>69.951219512195095</c:v>
                </c:pt>
                <c:pt idx="9">
                  <c:v>70.507317073170796</c:v>
                </c:pt>
                <c:pt idx="10">
                  <c:v>70.807317073170694</c:v>
                </c:pt>
                <c:pt idx="11">
                  <c:v>71.107317073170705</c:v>
                </c:pt>
                <c:pt idx="12">
                  <c:v>71.156097560975596</c:v>
                </c:pt>
                <c:pt idx="13">
                  <c:v>71.356097560975599</c:v>
                </c:pt>
                <c:pt idx="14">
                  <c:v>71.956097560975607</c:v>
                </c:pt>
                <c:pt idx="15">
                  <c:v>72.604878048780506</c:v>
                </c:pt>
                <c:pt idx="16">
                  <c:v>72.856097560975599</c:v>
                </c:pt>
                <c:pt idx="17">
                  <c:v>73.256097560975604</c:v>
                </c:pt>
                <c:pt idx="18">
                  <c:v>73.356097560975599</c:v>
                </c:pt>
                <c:pt idx="19">
                  <c:v>73.804878048780495</c:v>
                </c:pt>
                <c:pt idx="20">
                  <c:v>73.609756097561004</c:v>
                </c:pt>
                <c:pt idx="21">
                  <c:v>74.009756097560995</c:v>
                </c:pt>
                <c:pt idx="22">
                  <c:v>74.360975609756096</c:v>
                </c:pt>
                <c:pt idx="23">
                  <c:v>74.463414634146304</c:v>
                </c:pt>
                <c:pt idx="24">
                  <c:v>74.563414634146397</c:v>
                </c:pt>
                <c:pt idx="25">
                  <c:v>74.563414634146397</c:v>
                </c:pt>
                <c:pt idx="26">
                  <c:v>74.614634146341501</c:v>
                </c:pt>
                <c:pt idx="27">
                  <c:v>74.765853658536599</c:v>
                </c:pt>
                <c:pt idx="28">
                  <c:v>74.765853658536599</c:v>
                </c:pt>
                <c:pt idx="29">
                  <c:v>75.017073170731706</c:v>
                </c:pt>
                <c:pt idx="30">
                  <c:v>75.214634146341496</c:v>
                </c:pt>
                <c:pt idx="31">
                  <c:v>75.365853658536594</c:v>
                </c:pt>
                <c:pt idx="32">
                  <c:v>75.6170731707317</c:v>
                </c:pt>
                <c:pt idx="33">
                  <c:v>75.419512195121996</c:v>
                </c:pt>
                <c:pt idx="34">
                  <c:v>75.619512195121999</c:v>
                </c:pt>
                <c:pt idx="35">
                  <c:v>75.621951219512198</c:v>
                </c:pt>
                <c:pt idx="36">
                  <c:v>76.026829268292701</c:v>
                </c:pt>
                <c:pt idx="37">
                  <c:v>76.429268292682906</c:v>
                </c:pt>
                <c:pt idx="38">
                  <c:v>76.580487804878103</c:v>
                </c:pt>
                <c:pt idx="39">
                  <c:v>76.582926829268303</c:v>
                </c:pt>
                <c:pt idx="40">
                  <c:v>76.636585365853705</c:v>
                </c:pt>
                <c:pt idx="41">
                  <c:v>76.836585365853693</c:v>
                </c:pt>
                <c:pt idx="42">
                  <c:v>76.936585365853702</c:v>
                </c:pt>
                <c:pt idx="43">
                  <c:v>77.036585365853696</c:v>
                </c:pt>
                <c:pt idx="44">
                  <c:v>77.487804878048806</c:v>
                </c:pt>
                <c:pt idx="45">
                  <c:v>77.487804878048806</c:v>
                </c:pt>
                <c:pt idx="46">
                  <c:v>77.687804878048794</c:v>
                </c:pt>
                <c:pt idx="47">
                  <c:v>77.987804878048806</c:v>
                </c:pt>
                <c:pt idx="48">
                  <c:v>78.039024390243895</c:v>
                </c:pt>
                <c:pt idx="49">
                  <c:v>78.390243902438996</c:v>
                </c:pt>
                <c:pt idx="50">
                  <c:v>78.541463414634194</c:v>
                </c:pt>
                <c:pt idx="51">
                  <c:v>78.641463414634103</c:v>
                </c:pt>
                <c:pt idx="52">
                  <c:v>78.741463414634197</c:v>
                </c:pt>
                <c:pt idx="53">
                  <c:v>78.741463414634197</c:v>
                </c:pt>
                <c:pt idx="54">
                  <c:v>78.841463414634106</c:v>
                </c:pt>
                <c:pt idx="55">
                  <c:v>78.690243902438993</c:v>
                </c:pt>
                <c:pt idx="56">
                  <c:v>78.539024390243895</c:v>
                </c:pt>
                <c:pt idx="57">
                  <c:v>78.539024390243895</c:v>
                </c:pt>
                <c:pt idx="58">
                  <c:v>78.639024390243904</c:v>
                </c:pt>
                <c:pt idx="59">
                  <c:v>78.787804878048803</c:v>
                </c:pt>
                <c:pt idx="60">
                  <c:v>77.280487804878106</c:v>
                </c:pt>
              </c:numCache>
            </c:numRef>
          </c:val>
          <c:smooth val="0"/>
          <c:extLst>
            <c:ext xmlns:c16="http://schemas.microsoft.com/office/drawing/2014/chart" uri="{C3380CC4-5D6E-409C-BE32-E72D297353CC}">
              <c16:uniqueId val="{00000000-48C5-4FCF-BB6E-75737ED679A3}"/>
            </c:ext>
          </c:extLst>
        </c:ser>
        <c:dLbls>
          <c:showLegendKey val="0"/>
          <c:showVal val="0"/>
          <c:showCatName val="0"/>
          <c:showSerName val="0"/>
          <c:showPercent val="0"/>
          <c:showBubbleSize val="0"/>
        </c:dLbls>
        <c:smooth val="0"/>
        <c:axId val="35842095"/>
        <c:axId val="2100395711"/>
      </c:lineChart>
      <c:catAx>
        <c:axId val="358420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395711"/>
        <c:crosses val="autoZero"/>
        <c:auto val="1"/>
        <c:lblAlgn val="ctr"/>
        <c:lblOffset val="100"/>
        <c:noMultiLvlLbl val="0"/>
      </c:catAx>
      <c:valAx>
        <c:axId val="21003957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Life</a:t>
                </a:r>
                <a:r>
                  <a:rPr lang="en-US" baseline="0"/>
                  <a:t> Expectancy (in Years)</a:t>
                </a:r>
                <a:r>
                  <a:rPr lang="en-US"/>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420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Fertility</a:t>
            </a:r>
            <a:r>
              <a:rPr lang="en-US" baseline="0"/>
              <a:t> Rate in U.S.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rgbClr val="D8A43C"/>
              </a:solidFill>
              <a:round/>
            </a:ln>
            <a:effectLst/>
          </c:spPr>
          <c:marker>
            <c:symbol val="none"/>
          </c:marker>
          <c:cat>
            <c:numRef>
              <c:f>'Fertility Rate'!$A$5:$A$65</c:f>
              <c:numCache>
                <c:formatCode>General</c:formatCode>
                <c:ptCount val="61"/>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pt idx="53">
                  <c:v>2013</c:v>
                </c:pt>
                <c:pt idx="54">
                  <c:v>2014</c:v>
                </c:pt>
                <c:pt idx="55">
                  <c:v>2015</c:v>
                </c:pt>
                <c:pt idx="56">
                  <c:v>2016</c:v>
                </c:pt>
                <c:pt idx="57">
                  <c:v>2017</c:v>
                </c:pt>
                <c:pt idx="58">
                  <c:v>2018</c:v>
                </c:pt>
                <c:pt idx="59">
                  <c:v>2019</c:v>
                </c:pt>
                <c:pt idx="60">
                  <c:v>2020</c:v>
                </c:pt>
              </c:numCache>
            </c:numRef>
          </c:cat>
          <c:val>
            <c:numRef>
              <c:f>'Fertility Rate'!$B$5:$B$65</c:f>
              <c:numCache>
                <c:formatCode>General</c:formatCode>
                <c:ptCount val="61"/>
                <c:pt idx="0">
                  <c:v>3.6539999999999999</c:v>
                </c:pt>
                <c:pt idx="1">
                  <c:v>3.62</c:v>
                </c:pt>
                <c:pt idx="2">
                  <c:v>3.4609999999999999</c:v>
                </c:pt>
                <c:pt idx="3">
                  <c:v>3.319</c:v>
                </c:pt>
                <c:pt idx="4">
                  <c:v>3.19</c:v>
                </c:pt>
                <c:pt idx="5">
                  <c:v>2.9129999999999998</c:v>
                </c:pt>
                <c:pt idx="6">
                  <c:v>2.7210000000000001</c:v>
                </c:pt>
                <c:pt idx="7">
                  <c:v>2.5579999999999998</c:v>
                </c:pt>
                <c:pt idx="8">
                  <c:v>2.464</c:v>
                </c:pt>
                <c:pt idx="9">
                  <c:v>2.456</c:v>
                </c:pt>
                <c:pt idx="10">
                  <c:v>2.48</c:v>
                </c:pt>
                <c:pt idx="11">
                  <c:v>2.266</c:v>
                </c:pt>
                <c:pt idx="12">
                  <c:v>2.0099999999999998</c:v>
                </c:pt>
                <c:pt idx="13">
                  <c:v>1.879</c:v>
                </c:pt>
                <c:pt idx="14">
                  <c:v>1.835</c:v>
                </c:pt>
                <c:pt idx="15">
                  <c:v>1.774</c:v>
                </c:pt>
                <c:pt idx="16">
                  <c:v>1.738</c:v>
                </c:pt>
                <c:pt idx="17">
                  <c:v>1.79</c:v>
                </c:pt>
                <c:pt idx="18">
                  <c:v>1.76</c:v>
                </c:pt>
                <c:pt idx="19">
                  <c:v>1.8080000000000001</c:v>
                </c:pt>
                <c:pt idx="20">
                  <c:v>1.8394999999999999</c:v>
                </c:pt>
                <c:pt idx="21">
                  <c:v>1.8120000000000001</c:v>
                </c:pt>
                <c:pt idx="22">
                  <c:v>1.8274999999999999</c:v>
                </c:pt>
                <c:pt idx="23">
                  <c:v>1.7989999999999999</c:v>
                </c:pt>
                <c:pt idx="24">
                  <c:v>1.8065</c:v>
                </c:pt>
                <c:pt idx="25">
                  <c:v>1.8440000000000001</c:v>
                </c:pt>
                <c:pt idx="26">
                  <c:v>1.8374999999999999</c:v>
                </c:pt>
                <c:pt idx="27">
                  <c:v>1.8720000000000001</c:v>
                </c:pt>
                <c:pt idx="28">
                  <c:v>1.9339999999999999</c:v>
                </c:pt>
                <c:pt idx="29">
                  <c:v>2.0139999999999998</c:v>
                </c:pt>
                <c:pt idx="30">
                  <c:v>2.081</c:v>
                </c:pt>
                <c:pt idx="31">
                  <c:v>2.0625</c:v>
                </c:pt>
                <c:pt idx="32">
                  <c:v>2.0459999999999998</c:v>
                </c:pt>
                <c:pt idx="33">
                  <c:v>2.0194999999999999</c:v>
                </c:pt>
                <c:pt idx="34">
                  <c:v>2.0015000000000001</c:v>
                </c:pt>
                <c:pt idx="35">
                  <c:v>1.978</c:v>
                </c:pt>
                <c:pt idx="36">
                  <c:v>1.976</c:v>
                </c:pt>
                <c:pt idx="37">
                  <c:v>1.9710000000000001</c:v>
                </c:pt>
                <c:pt idx="38">
                  <c:v>1.9990000000000001</c:v>
                </c:pt>
                <c:pt idx="39">
                  <c:v>2.0074999999999998</c:v>
                </c:pt>
                <c:pt idx="40">
                  <c:v>2.056</c:v>
                </c:pt>
                <c:pt idx="41">
                  <c:v>2.0305</c:v>
                </c:pt>
                <c:pt idx="42">
                  <c:v>2.0205000000000002</c:v>
                </c:pt>
                <c:pt idx="43">
                  <c:v>2.0474999999999999</c:v>
                </c:pt>
                <c:pt idx="44">
                  <c:v>2.0514999999999999</c:v>
                </c:pt>
                <c:pt idx="45">
                  <c:v>2.0569999999999999</c:v>
                </c:pt>
                <c:pt idx="46">
                  <c:v>2.1080000000000001</c:v>
                </c:pt>
                <c:pt idx="47">
                  <c:v>2.12</c:v>
                </c:pt>
                <c:pt idx="48">
                  <c:v>2.0720000000000001</c:v>
                </c:pt>
                <c:pt idx="49">
                  <c:v>2.0019999999999998</c:v>
                </c:pt>
                <c:pt idx="50">
                  <c:v>1.931</c:v>
                </c:pt>
                <c:pt idx="51">
                  <c:v>1.8945000000000001</c:v>
                </c:pt>
                <c:pt idx="52">
                  <c:v>1.8805000000000001</c:v>
                </c:pt>
                <c:pt idx="53">
                  <c:v>1.8574999999999999</c:v>
                </c:pt>
                <c:pt idx="54">
                  <c:v>1.8625</c:v>
                </c:pt>
                <c:pt idx="55">
                  <c:v>1.8434999999999999</c:v>
                </c:pt>
                <c:pt idx="56">
                  <c:v>1.8205</c:v>
                </c:pt>
                <c:pt idx="57">
                  <c:v>1.7655000000000001</c:v>
                </c:pt>
                <c:pt idx="58">
                  <c:v>1.7295</c:v>
                </c:pt>
                <c:pt idx="59">
                  <c:v>1.706</c:v>
                </c:pt>
                <c:pt idx="60">
                  <c:v>1.6375</c:v>
                </c:pt>
              </c:numCache>
            </c:numRef>
          </c:val>
          <c:smooth val="0"/>
          <c:extLst>
            <c:ext xmlns:c16="http://schemas.microsoft.com/office/drawing/2014/chart" uri="{C3380CC4-5D6E-409C-BE32-E72D297353CC}">
              <c16:uniqueId val="{00000000-984A-4AAD-9339-BF056412D436}"/>
            </c:ext>
          </c:extLst>
        </c:ser>
        <c:dLbls>
          <c:showLegendKey val="0"/>
          <c:showVal val="0"/>
          <c:showCatName val="0"/>
          <c:showSerName val="0"/>
          <c:showPercent val="0"/>
          <c:showBubbleSize val="0"/>
        </c:dLbls>
        <c:smooth val="0"/>
        <c:axId val="2111353807"/>
        <c:axId val="2112404671"/>
      </c:lineChart>
      <c:catAx>
        <c:axId val="21113538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2404671"/>
        <c:crosses val="autoZero"/>
        <c:auto val="1"/>
        <c:lblAlgn val="ctr"/>
        <c:lblOffset val="100"/>
        <c:noMultiLvlLbl val="0"/>
      </c:catAx>
      <c:valAx>
        <c:axId val="21124046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Births per Woman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13538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Federal</a:t>
            </a:r>
            <a:r>
              <a:rPr lang="en-US" baseline="0"/>
              <a:t> Funds Rate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spPr>
            <a:solidFill>
              <a:schemeClr val="accent6">
                <a:lumMod val="60000"/>
                <a:lumOff val="40000"/>
              </a:schemeClr>
            </a:solidFill>
            <a:ln>
              <a:noFill/>
            </a:ln>
            <a:effectLst/>
          </c:spPr>
          <c:cat>
            <c:numRef>
              <c:f>'FRED Graph'!$A$594:$A$834</c:f>
              <c:numCache>
                <c:formatCode>yyyy\-mm\-dd</c:formatCode>
                <c:ptCount val="241"/>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pt idx="195">
                  <c:v>43556</c:v>
                </c:pt>
                <c:pt idx="196">
                  <c:v>43586</c:v>
                </c:pt>
                <c:pt idx="197">
                  <c:v>43617</c:v>
                </c:pt>
                <c:pt idx="198">
                  <c:v>43647</c:v>
                </c:pt>
                <c:pt idx="199">
                  <c:v>43678</c:v>
                </c:pt>
                <c:pt idx="200">
                  <c:v>43709</c:v>
                </c:pt>
                <c:pt idx="201">
                  <c:v>43739</c:v>
                </c:pt>
                <c:pt idx="202">
                  <c:v>43770</c:v>
                </c:pt>
                <c:pt idx="203">
                  <c:v>43800</c:v>
                </c:pt>
                <c:pt idx="204">
                  <c:v>43831</c:v>
                </c:pt>
                <c:pt idx="205">
                  <c:v>43862</c:v>
                </c:pt>
                <c:pt idx="206">
                  <c:v>43891</c:v>
                </c:pt>
                <c:pt idx="207">
                  <c:v>43922</c:v>
                </c:pt>
                <c:pt idx="208">
                  <c:v>43952</c:v>
                </c:pt>
                <c:pt idx="209">
                  <c:v>43983</c:v>
                </c:pt>
                <c:pt idx="210">
                  <c:v>44013</c:v>
                </c:pt>
                <c:pt idx="211">
                  <c:v>44044</c:v>
                </c:pt>
                <c:pt idx="212">
                  <c:v>44075</c:v>
                </c:pt>
                <c:pt idx="213">
                  <c:v>44105</c:v>
                </c:pt>
                <c:pt idx="214">
                  <c:v>44136</c:v>
                </c:pt>
                <c:pt idx="215">
                  <c:v>44166</c:v>
                </c:pt>
                <c:pt idx="216">
                  <c:v>44197</c:v>
                </c:pt>
                <c:pt idx="217">
                  <c:v>44228</c:v>
                </c:pt>
                <c:pt idx="218">
                  <c:v>44256</c:v>
                </c:pt>
                <c:pt idx="219">
                  <c:v>44287</c:v>
                </c:pt>
                <c:pt idx="220">
                  <c:v>44317</c:v>
                </c:pt>
                <c:pt idx="221">
                  <c:v>44348</c:v>
                </c:pt>
                <c:pt idx="222">
                  <c:v>44378</c:v>
                </c:pt>
                <c:pt idx="223">
                  <c:v>44409</c:v>
                </c:pt>
                <c:pt idx="224">
                  <c:v>44440</c:v>
                </c:pt>
                <c:pt idx="225">
                  <c:v>44470</c:v>
                </c:pt>
                <c:pt idx="226">
                  <c:v>44501</c:v>
                </c:pt>
                <c:pt idx="227">
                  <c:v>44531</c:v>
                </c:pt>
                <c:pt idx="228">
                  <c:v>44562</c:v>
                </c:pt>
                <c:pt idx="229">
                  <c:v>44593</c:v>
                </c:pt>
                <c:pt idx="230">
                  <c:v>44621</c:v>
                </c:pt>
                <c:pt idx="231">
                  <c:v>44652</c:v>
                </c:pt>
                <c:pt idx="232">
                  <c:v>44682</c:v>
                </c:pt>
                <c:pt idx="233">
                  <c:v>44713</c:v>
                </c:pt>
                <c:pt idx="234">
                  <c:v>44743</c:v>
                </c:pt>
                <c:pt idx="235">
                  <c:v>44774</c:v>
                </c:pt>
                <c:pt idx="236">
                  <c:v>44805</c:v>
                </c:pt>
                <c:pt idx="237">
                  <c:v>44835</c:v>
                </c:pt>
                <c:pt idx="238">
                  <c:v>44866</c:v>
                </c:pt>
                <c:pt idx="239">
                  <c:v>44896</c:v>
                </c:pt>
                <c:pt idx="240">
                  <c:v>44927</c:v>
                </c:pt>
              </c:numCache>
            </c:numRef>
          </c:cat>
          <c:val>
            <c:numRef>
              <c:f>'FRED Graph'!$B$594:$B$834</c:f>
              <c:numCache>
                <c:formatCode>0.00</c:formatCode>
                <c:ptCount val="241"/>
                <c:pt idx="0">
                  <c:v>1.24</c:v>
                </c:pt>
                <c:pt idx="1">
                  <c:v>1.26</c:v>
                </c:pt>
                <c:pt idx="2">
                  <c:v>1.25</c:v>
                </c:pt>
                <c:pt idx="3">
                  <c:v>1.26</c:v>
                </c:pt>
                <c:pt idx="4">
                  <c:v>1.26</c:v>
                </c:pt>
                <c:pt idx="5">
                  <c:v>1.22</c:v>
                </c:pt>
                <c:pt idx="6">
                  <c:v>1.01</c:v>
                </c:pt>
                <c:pt idx="7">
                  <c:v>1.03</c:v>
                </c:pt>
                <c:pt idx="8">
                  <c:v>1.01</c:v>
                </c:pt>
                <c:pt idx="9">
                  <c:v>1.01</c:v>
                </c:pt>
                <c:pt idx="10">
                  <c:v>1</c:v>
                </c:pt>
                <c:pt idx="11">
                  <c:v>0.98</c:v>
                </c:pt>
                <c:pt idx="12">
                  <c:v>1</c:v>
                </c:pt>
                <c:pt idx="13">
                  <c:v>1.01</c:v>
                </c:pt>
                <c:pt idx="14">
                  <c:v>1</c:v>
                </c:pt>
                <c:pt idx="15">
                  <c:v>1</c:v>
                </c:pt>
                <c:pt idx="16">
                  <c:v>1</c:v>
                </c:pt>
                <c:pt idx="17">
                  <c:v>1.03</c:v>
                </c:pt>
                <c:pt idx="18">
                  <c:v>1.26</c:v>
                </c:pt>
                <c:pt idx="19">
                  <c:v>1.43</c:v>
                </c:pt>
                <c:pt idx="20">
                  <c:v>1.61</c:v>
                </c:pt>
                <c:pt idx="21">
                  <c:v>1.76</c:v>
                </c:pt>
                <c:pt idx="22">
                  <c:v>1.93</c:v>
                </c:pt>
                <c:pt idx="23">
                  <c:v>2.16</c:v>
                </c:pt>
                <c:pt idx="24">
                  <c:v>2.2799999999999998</c:v>
                </c:pt>
                <c:pt idx="25">
                  <c:v>2.5</c:v>
                </c:pt>
                <c:pt idx="26">
                  <c:v>2.63</c:v>
                </c:pt>
                <c:pt idx="27">
                  <c:v>2.79</c:v>
                </c:pt>
                <c:pt idx="28">
                  <c:v>3</c:v>
                </c:pt>
                <c:pt idx="29">
                  <c:v>3.04</c:v>
                </c:pt>
                <c:pt idx="30">
                  <c:v>3.26</c:v>
                </c:pt>
                <c:pt idx="31">
                  <c:v>3.5</c:v>
                </c:pt>
                <c:pt idx="32">
                  <c:v>3.62</c:v>
                </c:pt>
                <c:pt idx="33">
                  <c:v>3.78</c:v>
                </c:pt>
                <c:pt idx="34">
                  <c:v>4</c:v>
                </c:pt>
                <c:pt idx="35">
                  <c:v>4.16</c:v>
                </c:pt>
                <c:pt idx="36">
                  <c:v>4.29</c:v>
                </c:pt>
                <c:pt idx="37">
                  <c:v>4.49</c:v>
                </c:pt>
                <c:pt idx="38">
                  <c:v>4.59</c:v>
                </c:pt>
                <c:pt idx="39">
                  <c:v>4.79</c:v>
                </c:pt>
                <c:pt idx="40">
                  <c:v>4.9400000000000004</c:v>
                </c:pt>
                <c:pt idx="41">
                  <c:v>4.99</c:v>
                </c:pt>
                <c:pt idx="42">
                  <c:v>5.24</c:v>
                </c:pt>
                <c:pt idx="43">
                  <c:v>5.25</c:v>
                </c:pt>
                <c:pt idx="44">
                  <c:v>5.25</c:v>
                </c:pt>
                <c:pt idx="45">
                  <c:v>5.25</c:v>
                </c:pt>
                <c:pt idx="46">
                  <c:v>5.25</c:v>
                </c:pt>
                <c:pt idx="47">
                  <c:v>5.24</c:v>
                </c:pt>
                <c:pt idx="48">
                  <c:v>5.25</c:v>
                </c:pt>
                <c:pt idx="49">
                  <c:v>5.26</c:v>
                </c:pt>
                <c:pt idx="50">
                  <c:v>5.26</c:v>
                </c:pt>
                <c:pt idx="51">
                  <c:v>5.25</c:v>
                </c:pt>
                <c:pt idx="52">
                  <c:v>5.25</c:v>
                </c:pt>
                <c:pt idx="53">
                  <c:v>5.25</c:v>
                </c:pt>
                <c:pt idx="54">
                  <c:v>5.26</c:v>
                </c:pt>
                <c:pt idx="55">
                  <c:v>5.0199999999999996</c:v>
                </c:pt>
                <c:pt idx="56">
                  <c:v>4.9400000000000004</c:v>
                </c:pt>
                <c:pt idx="57">
                  <c:v>4.76</c:v>
                </c:pt>
                <c:pt idx="58">
                  <c:v>4.49</c:v>
                </c:pt>
                <c:pt idx="59">
                  <c:v>4.24</c:v>
                </c:pt>
                <c:pt idx="60">
                  <c:v>3.94</c:v>
                </c:pt>
                <c:pt idx="61">
                  <c:v>2.98</c:v>
                </c:pt>
                <c:pt idx="62">
                  <c:v>2.61</c:v>
                </c:pt>
                <c:pt idx="63">
                  <c:v>2.2799999999999998</c:v>
                </c:pt>
                <c:pt idx="64">
                  <c:v>1.98</c:v>
                </c:pt>
                <c:pt idx="65">
                  <c:v>2</c:v>
                </c:pt>
                <c:pt idx="66">
                  <c:v>2.0099999999999998</c:v>
                </c:pt>
                <c:pt idx="67">
                  <c:v>2</c:v>
                </c:pt>
                <c:pt idx="68">
                  <c:v>1.81</c:v>
                </c:pt>
                <c:pt idx="69">
                  <c:v>0.97</c:v>
                </c:pt>
                <c:pt idx="70">
                  <c:v>0.39</c:v>
                </c:pt>
                <c:pt idx="71">
                  <c:v>0.16</c:v>
                </c:pt>
                <c:pt idx="72">
                  <c:v>0.15</c:v>
                </c:pt>
                <c:pt idx="73">
                  <c:v>0.22</c:v>
                </c:pt>
                <c:pt idx="74">
                  <c:v>0.18</c:v>
                </c:pt>
                <c:pt idx="75">
                  <c:v>0.15</c:v>
                </c:pt>
                <c:pt idx="76">
                  <c:v>0.18</c:v>
                </c:pt>
                <c:pt idx="77">
                  <c:v>0.21</c:v>
                </c:pt>
                <c:pt idx="78">
                  <c:v>0.16</c:v>
                </c:pt>
                <c:pt idx="79">
                  <c:v>0.16</c:v>
                </c:pt>
                <c:pt idx="80">
                  <c:v>0.15</c:v>
                </c:pt>
                <c:pt idx="81">
                  <c:v>0.12</c:v>
                </c:pt>
                <c:pt idx="82">
                  <c:v>0.12</c:v>
                </c:pt>
                <c:pt idx="83">
                  <c:v>0.12</c:v>
                </c:pt>
                <c:pt idx="84">
                  <c:v>0.11</c:v>
                </c:pt>
                <c:pt idx="85">
                  <c:v>0.13</c:v>
                </c:pt>
                <c:pt idx="86">
                  <c:v>0.16</c:v>
                </c:pt>
                <c:pt idx="87">
                  <c:v>0.2</c:v>
                </c:pt>
                <c:pt idx="88">
                  <c:v>0.2</c:v>
                </c:pt>
                <c:pt idx="89">
                  <c:v>0.18</c:v>
                </c:pt>
                <c:pt idx="90">
                  <c:v>0.18</c:v>
                </c:pt>
                <c:pt idx="91">
                  <c:v>0.19</c:v>
                </c:pt>
                <c:pt idx="92">
                  <c:v>0.19</c:v>
                </c:pt>
                <c:pt idx="93">
                  <c:v>0.19</c:v>
                </c:pt>
                <c:pt idx="94">
                  <c:v>0.19</c:v>
                </c:pt>
                <c:pt idx="95">
                  <c:v>0.18</c:v>
                </c:pt>
                <c:pt idx="96">
                  <c:v>0.17</c:v>
                </c:pt>
                <c:pt idx="97">
                  <c:v>0.16</c:v>
                </c:pt>
                <c:pt idx="98">
                  <c:v>0.14000000000000001</c:v>
                </c:pt>
                <c:pt idx="99">
                  <c:v>0.1</c:v>
                </c:pt>
                <c:pt idx="100">
                  <c:v>0.09</c:v>
                </c:pt>
                <c:pt idx="101">
                  <c:v>0.09</c:v>
                </c:pt>
                <c:pt idx="102">
                  <c:v>7.0000000000000007E-2</c:v>
                </c:pt>
                <c:pt idx="103">
                  <c:v>0.1</c:v>
                </c:pt>
                <c:pt idx="104">
                  <c:v>0.08</c:v>
                </c:pt>
                <c:pt idx="105">
                  <c:v>7.0000000000000007E-2</c:v>
                </c:pt>
                <c:pt idx="106">
                  <c:v>0.08</c:v>
                </c:pt>
                <c:pt idx="107">
                  <c:v>7.0000000000000007E-2</c:v>
                </c:pt>
                <c:pt idx="108">
                  <c:v>0.08</c:v>
                </c:pt>
                <c:pt idx="109">
                  <c:v>0.1</c:v>
                </c:pt>
                <c:pt idx="110">
                  <c:v>0.13</c:v>
                </c:pt>
                <c:pt idx="111">
                  <c:v>0.14000000000000001</c:v>
                </c:pt>
                <c:pt idx="112">
                  <c:v>0.16</c:v>
                </c:pt>
                <c:pt idx="113">
                  <c:v>0.16</c:v>
                </c:pt>
                <c:pt idx="114">
                  <c:v>0.16</c:v>
                </c:pt>
                <c:pt idx="115">
                  <c:v>0.13</c:v>
                </c:pt>
                <c:pt idx="116">
                  <c:v>0.14000000000000001</c:v>
                </c:pt>
                <c:pt idx="117">
                  <c:v>0.16</c:v>
                </c:pt>
                <c:pt idx="118">
                  <c:v>0.16</c:v>
                </c:pt>
                <c:pt idx="119">
                  <c:v>0.16</c:v>
                </c:pt>
                <c:pt idx="120">
                  <c:v>0.14000000000000001</c:v>
                </c:pt>
                <c:pt idx="121">
                  <c:v>0.15</c:v>
                </c:pt>
                <c:pt idx="122">
                  <c:v>0.14000000000000001</c:v>
                </c:pt>
                <c:pt idx="123">
                  <c:v>0.15</c:v>
                </c:pt>
                <c:pt idx="124">
                  <c:v>0.11</c:v>
                </c:pt>
                <c:pt idx="125">
                  <c:v>0.09</c:v>
                </c:pt>
                <c:pt idx="126">
                  <c:v>0.09</c:v>
                </c:pt>
                <c:pt idx="127">
                  <c:v>0.08</c:v>
                </c:pt>
                <c:pt idx="128">
                  <c:v>0.08</c:v>
                </c:pt>
                <c:pt idx="129">
                  <c:v>0.09</c:v>
                </c:pt>
                <c:pt idx="130">
                  <c:v>0.08</c:v>
                </c:pt>
                <c:pt idx="131">
                  <c:v>0.09</c:v>
                </c:pt>
                <c:pt idx="132">
                  <c:v>7.0000000000000007E-2</c:v>
                </c:pt>
                <c:pt idx="133">
                  <c:v>7.0000000000000007E-2</c:v>
                </c:pt>
                <c:pt idx="134">
                  <c:v>0.08</c:v>
                </c:pt>
                <c:pt idx="135">
                  <c:v>0.09</c:v>
                </c:pt>
                <c:pt idx="136">
                  <c:v>0.09</c:v>
                </c:pt>
                <c:pt idx="137">
                  <c:v>0.1</c:v>
                </c:pt>
                <c:pt idx="138">
                  <c:v>0.09</c:v>
                </c:pt>
                <c:pt idx="139">
                  <c:v>0.09</c:v>
                </c:pt>
                <c:pt idx="140">
                  <c:v>0.09</c:v>
                </c:pt>
                <c:pt idx="141">
                  <c:v>0.09</c:v>
                </c:pt>
                <c:pt idx="142">
                  <c:v>0.09</c:v>
                </c:pt>
                <c:pt idx="143">
                  <c:v>0.12</c:v>
                </c:pt>
                <c:pt idx="144">
                  <c:v>0.11</c:v>
                </c:pt>
                <c:pt idx="145">
                  <c:v>0.11</c:v>
                </c:pt>
                <c:pt idx="146">
                  <c:v>0.11</c:v>
                </c:pt>
                <c:pt idx="147">
                  <c:v>0.12</c:v>
                </c:pt>
                <c:pt idx="148">
                  <c:v>0.12</c:v>
                </c:pt>
                <c:pt idx="149">
                  <c:v>0.13</c:v>
                </c:pt>
                <c:pt idx="150">
                  <c:v>0.13</c:v>
                </c:pt>
                <c:pt idx="151">
                  <c:v>0.14000000000000001</c:v>
                </c:pt>
                <c:pt idx="152">
                  <c:v>0.14000000000000001</c:v>
                </c:pt>
                <c:pt idx="153">
                  <c:v>0.12</c:v>
                </c:pt>
                <c:pt idx="154">
                  <c:v>0.12</c:v>
                </c:pt>
                <c:pt idx="155">
                  <c:v>0.24</c:v>
                </c:pt>
                <c:pt idx="156">
                  <c:v>0.34</c:v>
                </c:pt>
                <c:pt idx="157">
                  <c:v>0.38</c:v>
                </c:pt>
                <c:pt idx="158">
                  <c:v>0.36</c:v>
                </c:pt>
                <c:pt idx="159">
                  <c:v>0.37</c:v>
                </c:pt>
                <c:pt idx="160">
                  <c:v>0.37</c:v>
                </c:pt>
                <c:pt idx="161">
                  <c:v>0.38</c:v>
                </c:pt>
                <c:pt idx="162">
                  <c:v>0.39</c:v>
                </c:pt>
                <c:pt idx="163">
                  <c:v>0.4</c:v>
                </c:pt>
                <c:pt idx="164">
                  <c:v>0.4</c:v>
                </c:pt>
                <c:pt idx="165">
                  <c:v>0.4</c:v>
                </c:pt>
                <c:pt idx="166">
                  <c:v>0.41</c:v>
                </c:pt>
                <c:pt idx="167">
                  <c:v>0.54</c:v>
                </c:pt>
                <c:pt idx="168">
                  <c:v>0.65</c:v>
                </c:pt>
                <c:pt idx="169">
                  <c:v>0.66</c:v>
                </c:pt>
                <c:pt idx="170">
                  <c:v>0.79</c:v>
                </c:pt>
                <c:pt idx="171">
                  <c:v>0.9</c:v>
                </c:pt>
                <c:pt idx="172">
                  <c:v>0.91</c:v>
                </c:pt>
                <c:pt idx="173">
                  <c:v>1.04</c:v>
                </c:pt>
                <c:pt idx="174">
                  <c:v>1.1499999999999999</c:v>
                </c:pt>
                <c:pt idx="175">
                  <c:v>1.1599999999999999</c:v>
                </c:pt>
                <c:pt idx="176">
                  <c:v>1.1499999999999999</c:v>
                </c:pt>
                <c:pt idx="177">
                  <c:v>1.1499999999999999</c:v>
                </c:pt>
                <c:pt idx="178">
                  <c:v>1.1599999999999999</c:v>
                </c:pt>
                <c:pt idx="179">
                  <c:v>1.3</c:v>
                </c:pt>
                <c:pt idx="180">
                  <c:v>1.41</c:v>
                </c:pt>
                <c:pt idx="181">
                  <c:v>1.42</c:v>
                </c:pt>
                <c:pt idx="182">
                  <c:v>1.51</c:v>
                </c:pt>
                <c:pt idx="183">
                  <c:v>1.69</c:v>
                </c:pt>
                <c:pt idx="184">
                  <c:v>1.7</c:v>
                </c:pt>
                <c:pt idx="185">
                  <c:v>1.82</c:v>
                </c:pt>
                <c:pt idx="186">
                  <c:v>1.91</c:v>
                </c:pt>
                <c:pt idx="187">
                  <c:v>1.91</c:v>
                </c:pt>
                <c:pt idx="188">
                  <c:v>1.95</c:v>
                </c:pt>
                <c:pt idx="189">
                  <c:v>2.19</c:v>
                </c:pt>
                <c:pt idx="190">
                  <c:v>2.2000000000000002</c:v>
                </c:pt>
                <c:pt idx="191">
                  <c:v>2.27</c:v>
                </c:pt>
                <c:pt idx="192">
                  <c:v>2.4</c:v>
                </c:pt>
                <c:pt idx="193">
                  <c:v>2.4</c:v>
                </c:pt>
                <c:pt idx="194">
                  <c:v>2.41</c:v>
                </c:pt>
                <c:pt idx="195">
                  <c:v>2.42</c:v>
                </c:pt>
                <c:pt idx="196">
                  <c:v>2.39</c:v>
                </c:pt>
                <c:pt idx="197">
                  <c:v>2.38</c:v>
                </c:pt>
                <c:pt idx="198">
                  <c:v>2.4</c:v>
                </c:pt>
                <c:pt idx="199">
                  <c:v>2.13</c:v>
                </c:pt>
                <c:pt idx="200">
                  <c:v>2.04</c:v>
                </c:pt>
                <c:pt idx="201">
                  <c:v>1.83</c:v>
                </c:pt>
                <c:pt idx="202">
                  <c:v>1.55</c:v>
                </c:pt>
                <c:pt idx="203">
                  <c:v>1.55</c:v>
                </c:pt>
                <c:pt idx="204">
                  <c:v>1.55</c:v>
                </c:pt>
                <c:pt idx="205">
                  <c:v>1.58</c:v>
                </c:pt>
                <c:pt idx="206">
                  <c:v>0.65</c:v>
                </c:pt>
                <c:pt idx="207">
                  <c:v>0.05</c:v>
                </c:pt>
                <c:pt idx="208">
                  <c:v>0.05</c:v>
                </c:pt>
                <c:pt idx="209">
                  <c:v>0.08</c:v>
                </c:pt>
                <c:pt idx="210">
                  <c:v>0.09</c:v>
                </c:pt>
                <c:pt idx="211">
                  <c:v>0.1</c:v>
                </c:pt>
                <c:pt idx="212">
                  <c:v>0.09</c:v>
                </c:pt>
                <c:pt idx="213">
                  <c:v>0.09</c:v>
                </c:pt>
                <c:pt idx="214">
                  <c:v>0.09</c:v>
                </c:pt>
                <c:pt idx="215">
                  <c:v>0.09</c:v>
                </c:pt>
                <c:pt idx="216">
                  <c:v>0.09</c:v>
                </c:pt>
                <c:pt idx="217">
                  <c:v>0.08</c:v>
                </c:pt>
                <c:pt idx="218">
                  <c:v>7.0000000000000007E-2</c:v>
                </c:pt>
                <c:pt idx="219">
                  <c:v>7.0000000000000007E-2</c:v>
                </c:pt>
                <c:pt idx="220">
                  <c:v>0.06</c:v>
                </c:pt>
                <c:pt idx="221">
                  <c:v>0.08</c:v>
                </c:pt>
                <c:pt idx="222">
                  <c:v>0.1</c:v>
                </c:pt>
                <c:pt idx="223">
                  <c:v>0.09</c:v>
                </c:pt>
                <c:pt idx="224">
                  <c:v>0.08</c:v>
                </c:pt>
                <c:pt idx="225">
                  <c:v>0.08</c:v>
                </c:pt>
                <c:pt idx="226">
                  <c:v>0.08</c:v>
                </c:pt>
                <c:pt idx="227">
                  <c:v>0.08</c:v>
                </c:pt>
                <c:pt idx="228">
                  <c:v>0.08</c:v>
                </c:pt>
                <c:pt idx="229">
                  <c:v>0.08</c:v>
                </c:pt>
                <c:pt idx="230">
                  <c:v>0.2</c:v>
                </c:pt>
                <c:pt idx="231">
                  <c:v>0.33</c:v>
                </c:pt>
                <c:pt idx="232">
                  <c:v>0.77</c:v>
                </c:pt>
                <c:pt idx="233">
                  <c:v>1.21</c:v>
                </c:pt>
                <c:pt idx="234">
                  <c:v>1.68</c:v>
                </c:pt>
                <c:pt idx="235">
                  <c:v>2.33</c:v>
                </c:pt>
                <c:pt idx="236">
                  <c:v>2.56</c:v>
                </c:pt>
                <c:pt idx="237">
                  <c:v>3.08</c:v>
                </c:pt>
                <c:pt idx="238">
                  <c:v>3.78</c:v>
                </c:pt>
                <c:pt idx="239">
                  <c:v>4.0999999999999996</c:v>
                </c:pt>
                <c:pt idx="240">
                  <c:v>4.33</c:v>
                </c:pt>
              </c:numCache>
            </c:numRef>
          </c:val>
          <c:extLst>
            <c:ext xmlns:c16="http://schemas.microsoft.com/office/drawing/2014/chart" uri="{C3380CC4-5D6E-409C-BE32-E72D297353CC}">
              <c16:uniqueId val="{00000000-23CA-4CAD-9284-423EFEBF05DC}"/>
            </c:ext>
          </c:extLst>
        </c:ser>
        <c:dLbls>
          <c:showLegendKey val="0"/>
          <c:showVal val="0"/>
          <c:showCatName val="0"/>
          <c:showSerName val="0"/>
          <c:showPercent val="0"/>
          <c:showBubbleSize val="0"/>
        </c:dLbls>
        <c:axId val="35923775"/>
        <c:axId val="298229023"/>
      </c:areaChart>
      <c:dateAx>
        <c:axId val="3592377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8229023"/>
        <c:crosses val="autoZero"/>
        <c:auto val="1"/>
        <c:lblOffset val="100"/>
        <c:baseTimeUnit val="months"/>
      </c:dateAx>
      <c:valAx>
        <c:axId val="2982290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 in Whole</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23775"/>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9+I797gG1PesUmBqT+QQTUAXzw==">AMUW2mXMSxibDzizBhY5Lkvc2g+yoM2LhIz2MYEhyCX4Nmszhza1ehaxCQItTSCj842j0EPVGHeGDG5FxaUT8kq7QQ5o6rCuAVRv4YzQ9vm7nWUszF1too0=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1706</Words>
  <Characters>9730</Characters>
  <Application>Microsoft Office Word</Application>
  <DocSecurity>0</DocSecurity>
  <Lines>81</Lines>
  <Paragraphs>22</Paragraphs>
  <ScaleCrop>false</ScaleCrop>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Davitt (Student)</dc:creator>
  <cp:lastModifiedBy>Kelvin Wong</cp:lastModifiedBy>
  <cp:revision>2</cp:revision>
  <dcterms:created xsi:type="dcterms:W3CDTF">2023-04-01T01:18:00Z</dcterms:created>
  <dcterms:modified xsi:type="dcterms:W3CDTF">2025-02-25T21:22:00Z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0x0101008EE34AA1CF3F614E9EDD9BF86E5D7D8B</vt:lpwstr>
  </property>
</Properties>
</file>